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ACCBF9" w:themeColor="background2">
    <v:background id="_x0000_s1025">
      <v:fill type="gradient" on="t" color2="#F2F2F2" focus="100%" focussize="0f,0f" focusposition="32768f,32768f"/>
    </v:background>
  </w:background>
  <w:body>
    <w:p>
      <w:pPr>
        <w:spacing w:line="360" w:lineRule="auto"/>
        <w:rPr>
          <w:u w:val="single"/>
        </w:rPr>
      </w:pPr>
      <w:r>
        <mc:AlternateContent>
          <mc:Choice Requires="wps">
            <w:drawing>
              <wp:anchor distT="0" distB="0" distL="114300" distR="114300" simplePos="0" relativeHeight="251659264" behindDoc="0" locked="0" layoutInCell="1" allowOverlap="1">
                <wp:simplePos x="0" y="0"/>
                <wp:positionH relativeFrom="column">
                  <wp:posOffset>-104775</wp:posOffset>
                </wp:positionH>
                <wp:positionV relativeFrom="paragraph">
                  <wp:posOffset>504825</wp:posOffset>
                </wp:positionV>
                <wp:extent cx="5572125" cy="28575"/>
                <wp:effectExtent l="0" t="6350" r="9525" b="22225"/>
                <wp:wrapNone/>
                <wp:docPr id="2" name="自选图形 2"/>
                <wp:cNvGraphicFramePr/>
                <a:graphic xmlns:a="http://schemas.openxmlformats.org/drawingml/2006/main">
                  <a:graphicData uri="http://schemas.microsoft.com/office/word/2010/wordprocessingShape">
                    <wps:wsp>
                      <wps:cNvCnPr/>
                      <wps:spPr>
                        <a:xfrm flipV="1">
                          <a:off x="0" y="0"/>
                          <a:ext cx="5572125" cy="28575"/>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flip:y;margin-left:-8.25pt;margin-top:39.75pt;height:2.25pt;width:438.75pt;z-index:251659264;mso-width-relative:page;mso-height-relative:page;" filled="f" stroked="t" coordsize="21600,21600" o:gfxdata="UEsDBAoAAAAAAIdO4kAAAAAAAAAAAAAAAAAEAAAAZHJzL1BLAwQUAAAACACHTuJAU7lARdgAAAAJ&#10;AQAADwAAAGRycy9kb3ducmV2LnhtbE2PwU7DMBBE70j8g7VI3Fo7CEIb4lSiogIuCNp+gBNv44h4&#10;HcVum/49ywlOu6sZzb4pV5PvxQnH2AXSkM0VCKQm2I5aDfvdZrYAEZMha/pAqOGCEVbV9VVpChvO&#10;9IWnbWoFh1AsjAaX0lBIGRuH3sR5GJBYO4TRm8Tn2Eo7mjOH+17eKZVLbzriD84MuHbYfG+PXkM8&#10;OPVusg/ayMvbs1t/7uvp9UXr25tMPYFIOKU/M/ziMzpUzFSHI9koeg2zLH9gq4bHJU82LPKMy9W8&#10;3CuQVSn/N6h+AFBLAwQUAAAACACHTuJA4KIPzP4BAADyAwAADgAAAGRycy9lMm9Eb2MueG1srVO9&#10;jhMxEO6ReAfLPdlkpZDTKpsrEo4GQSR+esc/u5b8J48vm3R0iGego+Qd4G1Ogrdg7A3h7mhS4MIa&#10;e2a+me/zeHl9sIbsZQTtXUtnkykl0nEvtOta+v7dzbMrSiAxJ5jxTrb0KIFer54+WQ6hkbXvvREy&#10;EgRx0AyhpX1Koakq4L20DCY+SIdO5aNlCY+xq0RkA6JbU9XT6fNq8FGE6LkEwNvN6KQnxHgJoFdK&#10;c7nx/NZKl0bUKA1LSAl6HYCuSrdKSZ7eKAUyEdNSZJrKjkXQ3uW9Wi1Z00UWes1PLbBLWnjEyTLt&#10;sOgZasMSI7dR/wNlNY8evEoT7m01EimKIIvZ9JE2b3sWZOGCUkM4iw7/D5a/3m8j0aKlNSWOWXzw&#10;n5++/fr4+e7Lj7vvX0mdFRoCNBi4dtt4OkHYxkz3oKIlyujwAUepCICUyKHoezzrKw+JcLyczxf1&#10;rJ5TwtFXX80X84xejTAZLkRIL6W3JBsthRSZ7vq09s7hS/o4lmD7V5DGxD8JOdk4MmAX9WKKj8sZ&#10;jqbCkUDTBqQHriv9gTda3GhjcgrEbrc2kexZHo+yTh09CMtVNgz6Ma64chhresnECydIOgYUzuF/&#10;obkHKwUlRuL3ylaJTEybSyJRDONQkyz5KHK2dl4ci/blHkehqHYa2zxr988l++9XXf0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7lARdgAAAAJAQAADwAAAAAAAAABACAAAAAiAAAAZHJzL2Rvd25y&#10;ZXYueG1sUEsBAhQAFAAAAAgAh07iQOCiD8z+AQAA8gMAAA4AAAAAAAAAAQAgAAAAJwEAAGRycy9l&#10;Mm9Eb2MueG1sUEsFBgAAAAAGAAYAWQEAAJcFAAAAAA==&#10;">
                <v:fill on="f" focussize="0,0"/>
                <v:stroke weight="1pt" color="#000000" joinstyle="round"/>
                <v:imagedata o:title=""/>
                <o:lock v:ext="edit" aspectratio="f"/>
              </v:shape>
            </w:pict>
          </mc:Fallback>
        </mc:AlternateContent>
      </w:r>
      <w:r>
        <w:drawing>
          <wp:inline distT="0" distB="0" distL="0" distR="0">
            <wp:extent cx="1057275" cy="462280"/>
            <wp:effectExtent l="19050" t="0" r="9525" b="0"/>
            <wp:docPr id="1" name="图片 0" descr="YYPDF截图20161211239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YYPDF截图2016121123945.png"/>
                    <pic:cNvPicPr>
                      <a:picLocks noChangeAspect="1"/>
                    </pic:cNvPicPr>
                  </pic:nvPicPr>
                  <pic:blipFill>
                    <a:blip r:embed="rId5"/>
                    <a:stretch>
                      <a:fillRect/>
                    </a:stretch>
                  </pic:blipFill>
                  <pic:spPr>
                    <a:xfrm>
                      <a:off x="0" y="0"/>
                      <a:ext cx="1059824" cy="463672"/>
                    </a:xfrm>
                    <a:prstGeom prst="rect">
                      <a:avLst/>
                    </a:prstGeom>
                  </pic:spPr>
                </pic:pic>
              </a:graphicData>
            </a:graphic>
          </wp:inline>
        </w:drawing>
      </w:r>
    </w:p>
    <w:p>
      <w:pPr>
        <w:jc w:val="center"/>
        <w:rPr>
          <w:b/>
          <w:sz w:val="30"/>
          <w:szCs w:val="30"/>
        </w:rPr>
      </w:pPr>
      <w:r>
        <w:rPr>
          <w:rFonts w:hint="eastAsia"/>
          <w:b/>
          <w:sz w:val="30"/>
          <w:szCs w:val="30"/>
        </w:rPr>
        <w:t>中国能源建设集团华东电力试验研究院有限公司2</w:t>
      </w:r>
      <w:r>
        <w:rPr>
          <w:b/>
          <w:sz w:val="30"/>
          <w:szCs w:val="30"/>
        </w:rPr>
        <w:t>02</w:t>
      </w:r>
      <w:r>
        <w:rPr>
          <w:rFonts w:hint="eastAsia"/>
          <w:b/>
          <w:sz w:val="30"/>
          <w:szCs w:val="30"/>
          <w:lang w:val="en-US" w:eastAsia="zh-CN"/>
        </w:rPr>
        <w:t>4</w:t>
      </w:r>
      <w:r>
        <w:rPr>
          <w:rFonts w:hint="eastAsia"/>
          <w:b/>
          <w:sz w:val="30"/>
          <w:szCs w:val="30"/>
        </w:rPr>
        <w:t>招聘简章</w:t>
      </w:r>
    </w:p>
    <w:p>
      <w:pPr>
        <w:ind w:firstLine="480" w:firstLineChars="200"/>
        <w:rPr>
          <w:rFonts w:ascii="微软雅黑" w:hAnsi="微软雅黑"/>
          <w:color w:val="000000" w:themeColor="text1"/>
          <w:sz w:val="24"/>
          <w:szCs w:val="24"/>
          <w14:textFill>
            <w14:solidFill>
              <w14:schemeClr w14:val="tx1"/>
            </w14:solidFill>
          </w14:textFill>
        </w:rPr>
      </w:pPr>
      <w:r>
        <w:rPr>
          <w:rFonts w:hint="eastAsia" w:ascii="微软雅黑" w:hAnsi="微软雅黑"/>
          <w:color w:val="000000" w:themeColor="text1"/>
          <w:sz w:val="24"/>
          <w:szCs w:val="24"/>
          <w14:textFill>
            <w14:solidFill>
              <w14:schemeClr w14:val="tx1"/>
            </w14:solidFill>
          </w14:textFill>
        </w:rPr>
        <w:t>中国能源建设集团华东电力试验研究院有限公司（以下简称“公司”）2016年11月注册，由中国能源建设集团科技发展公司与中国能源建设集团浙江火电建设有限公司共同出资完成的股份制有限公司。</w:t>
      </w:r>
    </w:p>
    <w:p>
      <w:pPr>
        <w:spacing w:line="400" w:lineRule="exact"/>
        <w:ind w:firstLine="480" w:firstLineChars="200"/>
        <w:rPr>
          <w:rFonts w:ascii="微软雅黑" w:hAnsi="微软雅黑"/>
          <w:color w:val="000000" w:themeColor="text1"/>
          <w:sz w:val="24"/>
          <w:szCs w:val="24"/>
          <w14:textFill>
            <w14:solidFill>
              <w14:schemeClr w14:val="tx1"/>
            </w14:solidFill>
          </w14:textFill>
        </w:rPr>
      </w:pPr>
      <w:r>
        <w:rPr>
          <w:rFonts w:hint="eastAsia" w:ascii="微软雅黑" w:hAnsi="微软雅黑"/>
          <w:color w:val="000000" w:themeColor="text1"/>
          <w:sz w:val="24"/>
          <w:szCs w:val="24"/>
          <w14:textFill>
            <w14:solidFill>
              <w14:schemeClr w14:val="tx1"/>
            </w14:solidFill>
          </w14:textFill>
        </w:rPr>
        <w:t>公司前身中国能源建设集团浙江火电建设有限公司调整试验分公司。主要经营范围：工程项目管理、咨询、评估、运行管理、调试、研究和试验、电力工程及设备的检测服务等。目前设有电源事业部、生产运维事业部、电力生产事业部、新能源（电网</w:t>
      </w:r>
      <w:r>
        <w:rPr>
          <w:rFonts w:ascii="微软雅黑" w:hAnsi="微软雅黑"/>
          <w:color w:val="000000" w:themeColor="text1"/>
          <w:sz w:val="24"/>
          <w:szCs w:val="24"/>
          <w14:textFill>
            <w14:solidFill>
              <w14:schemeClr w14:val="tx1"/>
            </w14:solidFill>
          </w14:textFill>
        </w:rPr>
        <w:t>）</w:t>
      </w:r>
      <w:r>
        <w:rPr>
          <w:rFonts w:hint="eastAsia" w:ascii="微软雅黑" w:hAnsi="微软雅黑"/>
          <w:color w:val="000000" w:themeColor="text1"/>
          <w:sz w:val="24"/>
          <w:szCs w:val="24"/>
          <w14:textFill>
            <w14:solidFill>
              <w14:schemeClr w14:val="tx1"/>
            </w14:solidFill>
          </w14:textFill>
        </w:rPr>
        <w:t>事业部等四大事业部及检测中心，拥有各类专业技术、管理人员2</w:t>
      </w:r>
      <w:r>
        <w:rPr>
          <w:rFonts w:ascii="微软雅黑" w:hAnsi="微软雅黑"/>
          <w:color w:val="000000" w:themeColor="text1"/>
          <w:sz w:val="24"/>
          <w:szCs w:val="24"/>
          <w14:textFill>
            <w14:solidFill>
              <w14:schemeClr w14:val="tx1"/>
            </w14:solidFill>
          </w14:textFill>
        </w:rPr>
        <w:t>80</w:t>
      </w:r>
      <w:r>
        <w:rPr>
          <w:rFonts w:hint="eastAsia" w:ascii="微软雅黑" w:hAnsi="微软雅黑"/>
          <w:color w:val="000000" w:themeColor="text1"/>
          <w:sz w:val="24"/>
          <w:szCs w:val="24"/>
          <w14:textFill>
            <w14:solidFill>
              <w14:schemeClr w14:val="tx1"/>
            </w14:solidFill>
          </w14:textFill>
        </w:rPr>
        <w:t>余人，净价</w:t>
      </w:r>
      <w:r>
        <w:rPr>
          <w:rFonts w:hint="eastAsia" w:ascii="微软雅黑" w:hAnsi="微软雅黑"/>
          <w:sz w:val="24"/>
          <w:szCs w:val="24"/>
        </w:rPr>
        <w:t>值约1400万的调</w:t>
      </w:r>
      <w:r>
        <w:rPr>
          <w:rFonts w:hint="eastAsia" w:ascii="微软雅黑" w:hAnsi="微软雅黑"/>
          <w:color w:val="000000" w:themeColor="text1"/>
          <w:sz w:val="24"/>
          <w:szCs w:val="24"/>
          <w14:textFill>
            <w14:solidFill>
              <w14:schemeClr w14:val="tx1"/>
            </w14:solidFill>
          </w14:textFill>
        </w:rPr>
        <w:t>试设备。累计参与完成调试的机组200多台，总容量超过6000万千瓦，足迹遍及我国二十多个省市自治区，并参与了印度尼西亚、越南、埃及、孟加拉、土耳其、巴基斯坦、伊拉克等多个国际电力工程的调试工作。在中国电力建设史上参与创造了多项第一：1991年，中国大陆第一座核电站——秦山核电站常规岛建设；2006年，全国首台百万千瓦超超临界火电机组——华能玉环电厂一号机成功投产，实现了我国电站建设能力从60万千瓦向百万千瓦等级的成功跨越；2009年，全球首台AP1000核电机组——三门核电常规岛工程；2017年，全国最大污泥处理项目——萧山4000吨/日污泥处理工程。为适应市场经济的需要，公司在原有基建调试的基础上，积极开拓机组性能试验、电气特殊性试验、电厂运维业务，市场业务得到快速发展，企业的技术实力、管理水平和服务能力得到了极大提升。</w:t>
      </w:r>
    </w:p>
    <w:p>
      <w:pPr>
        <w:spacing w:line="400" w:lineRule="exact"/>
        <w:ind w:firstLine="480" w:firstLineChars="200"/>
        <w:rPr>
          <w:rFonts w:ascii="微软雅黑" w:hAnsi="微软雅黑"/>
          <w:color w:val="000000" w:themeColor="text1"/>
          <w:sz w:val="24"/>
          <w:szCs w:val="24"/>
          <w14:textFill>
            <w14:solidFill>
              <w14:schemeClr w14:val="tx1"/>
            </w14:solidFill>
          </w14:textFill>
        </w:rPr>
      </w:pPr>
      <w:r>
        <w:rPr>
          <w:rFonts w:hint="eastAsia" w:ascii="微软雅黑" w:hAnsi="微软雅黑"/>
          <w:color w:val="000000" w:themeColor="text1"/>
          <w:sz w:val="24"/>
          <w:szCs w:val="24"/>
          <w14:textFill>
            <w14:solidFill>
              <w14:schemeClr w14:val="tx1"/>
            </w14:solidFill>
          </w14:textFill>
        </w:rPr>
        <w:t>公司管理严谨、务实，重视人力资源建设与开发，具有以人为本的用人环境，为员工提供广阔的个人发展空间。</w:t>
      </w:r>
    </w:p>
    <w:p>
      <w:pPr>
        <w:numPr>
          <w:ilvl w:val="0"/>
          <w:numId w:val="1"/>
        </w:numPr>
        <w:spacing w:line="360" w:lineRule="exact"/>
        <w:rPr>
          <w:b/>
          <w:sz w:val="24"/>
          <w:szCs w:val="24"/>
        </w:rPr>
      </w:pPr>
      <w:r>
        <w:rPr>
          <w:rFonts w:hint="eastAsia"/>
          <w:b/>
          <w:sz w:val="24"/>
          <w:szCs w:val="24"/>
        </w:rPr>
        <w:t>毕业生招聘专业需求表</w:t>
      </w:r>
    </w:p>
    <w:tbl>
      <w:tblPr>
        <w:tblStyle w:val="7"/>
        <w:tblW w:w="9435"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51"/>
        <w:gridCol w:w="1772"/>
        <w:gridCol w:w="2987"/>
        <w:gridCol w:w="1663"/>
        <w:gridCol w:w="1325"/>
        <w:gridCol w:w="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1" w:hRule="atLeast"/>
        </w:trPr>
        <w:tc>
          <w:tcPr>
            <w:tcW w:w="851" w:type="dxa"/>
            <w:tcBorders>
              <w:tl2br w:val="nil"/>
              <w:tr2bl w:val="nil"/>
            </w:tcBorders>
            <w:shd w:val="clear" w:color="auto" w:fill="auto"/>
            <w:vAlign w:val="center"/>
          </w:tcPr>
          <w:p>
            <w:pPr>
              <w:spacing w:after="0"/>
              <w:jc w:val="center"/>
            </w:pPr>
            <w:r>
              <w:rPr>
                <w:rFonts w:hint="eastAsia"/>
              </w:rPr>
              <w:t>序号</w:t>
            </w:r>
          </w:p>
        </w:tc>
        <w:tc>
          <w:tcPr>
            <w:tcW w:w="1772" w:type="dxa"/>
            <w:tcBorders>
              <w:tl2br w:val="nil"/>
              <w:tr2bl w:val="nil"/>
            </w:tcBorders>
            <w:shd w:val="clear" w:color="auto" w:fill="auto"/>
            <w:vAlign w:val="center"/>
          </w:tcPr>
          <w:p>
            <w:pPr>
              <w:spacing w:after="0"/>
              <w:jc w:val="center"/>
            </w:pPr>
            <w:r>
              <w:t>岗位</w:t>
            </w:r>
          </w:p>
        </w:tc>
        <w:tc>
          <w:tcPr>
            <w:tcW w:w="2987" w:type="dxa"/>
            <w:tcBorders>
              <w:tl2br w:val="nil"/>
              <w:tr2bl w:val="nil"/>
            </w:tcBorders>
            <w:shd w:val="clear" w:color="auto" w:fill="auto"/>
            <w:vAlign w:val="center"/>
          </w:tcPr>
          <w:p>
            <w:pPr>
              <w:spacing w:after="0"/>
              <w:jc w:val="center"/>
            </w:pPr>
            <w:r>
              <w:rPr>
                <w:rFonts w:hint="eastAsia"/>
              </w:rPr>
              <w:t>岗位职责</w:t>
            </w:r>
          </w:p>
        </w:tc>
        <w:tc>
          <w:tcPr>
            <w:tcW w:w="1663" w:type="dxa"/>
            <w:tcBorders>
              <w:tl2br w:val="nil"/>
              <w:tr2bl w:val="nil"/>
            </w:tcBorders>
            <w:shd w:val="clear" w:color="auto" w:fill="auto"/>
            <w:vAlign w:val="center"/>
          </w:tcPr>
          <w:p>
            <w:pPr>
              <w:spacing w:after="0"/>
              <w:jc w:val="center"/>
            </w:pPr>
            <w:r>
              <w:rPr>
                <w:rFonts w:hint="eastAsia"/>
              </w:rPr>
              <w:t>招聘专业</w:t>
            </w:r>
          </w:p>
        </w:tc>
        <w:tc>
          <w:tcPr>
            <w:tcW w:w="1325" w:type="dxa"/>
            <w:tcBorders>
              <w:tl2br w:val="nil"/>
              <w:tr2bl w:val="nil"/>
            </w:tcBorders>
            <w:shd w:val="clear" w:color="auto" w:fill="auto"/>
            <w:vAlign w:val="center"/>
          </w:tcPr>
          <w:p>
            <w:pPr>
              <w:spacing w:after="0"/>
              <w:jc w:val="center"/>
            </w:pPr>
            <w:r>
              <w:rPr>
                <w:rFonts w:hint="eastAsia"/>
              </w:rPr>
              <w:t>学历要求</w:t>
            </w:r>
          </w:p>
        </w:tc>
        <w:tc>
          <w:tcPr>
            <w:tcW w:w="837" w:type="dxa"/>
            <w:tcBorders>
              <w:tl2br w:val="nil"/>
              <w:tr2bl w:val="nil"/>
            </w:tcBorders>
            <w:shd w:val="clear" w:color="auto" w:fill="auto"/>
            <w:vAlign w:val="center"/>
          </w:tcPr>
          <w:p>
            <w:pPr>
              <w:spacing w:after="0"/>
              <w:jc w:val="center"/>
            </w:pPr>
            <w:r>
              <w:rPr>
                <w:rFonts w:hint="eastAsia"/>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1" w:hRule="atLeast"/>
        </w:trPr>
        <w:tc>
          <w:tcPr>
            <w:tcW w:w="851" w:type="dxa"/>
            <w:tcBorders>
              <w:tl2br w:val="nil"/>
              <w:tr2bl w:val="nil"/>
            </w:tcBorders>
            <w:shd w:val="clear" w:color="auto" w:fill="auto"/>
            <w:vAlign w:val="center"/>
          </w:tcPr>
          <w:p>
            <w:pPr>
              <w:spacing w:after="0"/>
              <w:jc w:val="center"/>
              <w:rPr>
                <w:sz w:val="21"/>
                <w:szCs w:val="21"/>
              </w:rPr>
            </w:pPr>
            <w:r>
              <w:rPr>
                <w:rFonts w:hint="eastAsia"/>
                <w:sz w:val="21"/>
                <w:szCs w:val="21"/>
              </w:rPr>
              <w:t>1</w:t>
            </w:r>
          </w:p>
        </w:tc>
        <w:tc>
          <w:tcPr>
            <w:tcW w:w="1772" w:type="dxa"/>
            <w:tcBorders>
              <w:tl2br w:val="nil"/>
              <w:tr2bl w:val="nil"/>
            </w:tcBorders>
            <w:shd w:val="clear" w:color="auto" w:fill="auto"/>
            <w:vAlign w:val="center"/>
          </w:tcPr>
          <w:p>
            <w:pPr>
              <w:spacing w:after="0"/>
              <w:jc w:val="both"/>
              <w:rPr>
                <w:sz w:val="21"/>
                <w:szCs w:val="21"/>
              </w:rPr>
            </w:pPr>
            <w:r>
              <w:rPr>
                <w:sz w:val="21"/>
                <w:szCs w:val="21"/>
              </w:rPr>
              <w:t>电气调试</w:t>
            </w:r>
            <w:r>
              <w:rPr>
                <w:rFonts w:hint="eastAsia"/>
                <w:sz w:val="21"/>
                <w:szCs w:val="21"/>
              </w:rPr>
              <w:t>技术员</w:t>
            </w:r>
          </w:p>
        </w:tc>
        <w:tc>
          <w:tcPr>
            <w:tcW w:w="2987" w:type="dxa"/>
            <w:tcBorders>
              <w:tl2br w:val="nil"/>
              <w:tr2bl w:val="nil"/>
            </w:tcBorders>
            <w:shd w:val="clear" w:color="auto" w:fill="auto"/>
            <w:vAlign w:val="center"/>
          </w:tcPr>
          <w:p>
            <w:pPr>
              <w:spacing w:after="0"/>
              <w:rPr>
                <w:sz w:val="21"/>
                <w:szCs w:val="21"/>
              </w:rPr>
            </w:pPr>
            <w:r>
              <w:rPr>
                <w:rFonts w:hint="eastAsia"/>
                <w:sz w:val="21"/>
                <w:szCs w:val="21"/>
              </w:rPr>
              <w:t>从事电气专业的设备与系统的调试，包括电气设备单体调试、变电所或电厂的电气分系统调试和电气整套启动调试</w:t>
            </w:r>
          </w:p>
        </w:tc>
        <w:tc>
          <w:tcPr>
            <w:tcW w:w="1663" w:type="dxa"/>
            <w:tcBorders>
              <w:tl2br w:val="nil"/>
              <w:tr2bl w:val="nil"/>
            </w:tcBorders>
            <w:shd w:val="clear" w:color="auto" w:fill="auto"/>
            <w:vAlign w:val="center"/>
          </w:tcPr>
          <w:p>
            <w:pPr>
              <w:spacing w:after="0"/>
              <w:jc w:val="both"/>
              <w:rPr>
                <w:sz w:val="21"/>
                <w:szCs w:val="21"/>
              </w:rPr>
            </w:pPr>
            <w:r>
              <w:rPr>
                <w:rFonts w:hint="eastAsia"/>
                <w:sz w:val="21"/>
                <w:szCs w:val="21"/>
              </w:rPr>
              <w:t>电气工程及其自动化、发电厂及电力系统及相关专业</w:t>
            </w:r>
          </w:p>
        </w:tc>
        <w:tc>
          <w:tcPr>
            <w:tcW w:w="1325" w:type="dxa"/>
            <w:tcBorders>
              <w:tl2br w:val="nil"/>
              <w:tr2bl w:val="nil"/>
            </w:tcBorders>
            <w:shd w:val="clear" w:color="auto" w:fill="auto"/>
            <w:vAlign w:val="center"/>
          </w:tcPr>
          <w:p>
            <w:pPr>
              <w:spacing w:after="0"/>
              <w:jc w:val="center"/>
              <w:rPr>
                <w:sz w:val="21"/>
                <w:szCs w:val="21"/>
              </w:rPr>
            </w:pPr>
            <w:r>
              <w:rPr>
                <w:rFonts w:hint="eastAsia"/>
                <w:sz w:val="21"/>
                <w:szCs w:val="21"/>
                <w:lang w:val="en-US" w:eastAsia="zh-CN"/>
              </w:rPr>
              <w:t>大专</w:t>
            </w:r>
            <w:r>
              <w:rPr>
                <w:rFonts w:hint="eastAsia"/>
                <w:sz w:val="21"/>
                <w:szCs w:val="21"/>
              </w:rPr>
              <w:t>及以上</w:t>
            </w:r>
          </w:p>
        </w:tc>
        <w:tc>
          <w:tcPr>
            <w:tcW w:w="837" w:type="dxa"/>
            <w:tcBorders>
              <w:tl2br w:val="nil"/>
              <w:tr2bl w:val="nil"/>
            </w:tcBorders>
            <w:shd w:val="clear" w:color="auto" w:fill="auto"/>
            <w:vAlign w:val="center"/>
          </w:tcPr>
          <w:p>
            <w:pPr>
              <w:spacing w:after="0"/>
              <w:jc w:val="center"/>
              <w:rPr>
                <w:rFonts w:hint="default" w:eastAsia="微软雅黑"/>
                <w:sz w:val="21"/>
                <w:szCs w:val="21"/>
                <w:lang w:val="en-US" w:eastAsia="zh-CN"/>
              </w:rPr>
            </w:pPr>
            <w:r>
              <w:rPr>
                <w:rFonts w:hint="eastAsia"/>
                <w:sz w:val="21"/>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1" w:hRule="atLeast"/>
        </w:trPr>
        <w:tc>
          <w:tcPr>
            <w:tcW w:w="851" w:type="dxa"/>
            <w:tcBorders>
              <w:tl2br w:val="nil"/>
              <w:tr2bl w:val="nil"/>
            </w:tcBorders>
            <w:shd w:val="clear" w:color="auto" w:fill="auto"/>
            <w:vAlign w:val="center"/>
          </w:tcPr>
          <w:p>
            <w:pPr>
              <w:spacing w:after="0"/>
              <w:jc w:val="center"/>
              <w:rPr>
                <w:sz w:val="21"/>
                <w:szCs w:val="21"/>
              </w:rPr>
            </w:pPr>
            <w:r>
              <w:rPr>
                <w:rFonts w:hint="eastAsia"/>
                <w:sz w:val="21"/>
                <w:szCs w:val="21"/>
              </w:rPr>
              <w:t>2</w:t>
            </w:r>
          </w:p>
        </w:tc>
        <w:tc>
          <w:tcPr>
            <w:tcW w:w="1772" w:type="dxa"/>
            <w:tcBorders>
              <w:tl2br w:val="nil"/>
              <w:tr2bl w:val="nil"/>
            </w:tcBorders>
            <w:shd w:val="clear" w:color="auto" w:fill="auto"/>
            <w:vAlign w:val="center"/>
          </w:tcPr>
          <w:p>
            <w:pPr>
              <w:spacing w:after="0"/>
              <w:jc w:val="both"/>
              <w:rPr>
                <w:sz w:val="21"/>
                <w:szCs w:val="21"/>
              </w:rPr>
            </w:pPr>
            <w:r>
              <w:rPr>
                <w:rFonts w:hint="eastAsia"/>
                <w:sz w:val="21"/>
                <w:szCs w:val="21"/>
              </w:rPr>
              <w:t>机务</w:t>
            </w:r>
            <w:r>
              <w:rPr>
                <w:sz w:val="21"/>
                <w:szCs w:val="21"/>
              </w:rPr>
              <w:t>调试</w:t>
            </w:r>
            <w:r>
              <w:rPr>
                <w:rFonts w:hint="eastAsia"/>
                <w:sz w:val="21"/>
                <w:szCs w:val="21"/>
              </w:rPr>
              <w:t>技术员</w:t>
            </w:r>
          </w:p>
        </w:tc>
        <w:tc>
          <w:tcPr>
            <w:tcW w:w="2987" w:type="dxa"/>
            <w:tcBorders>
              <w:tl2br w:val="nil"/>
              <w:tr2bl w:val="nil"/>
            </w:tcBorders>
            <w:shd w:val="clear" w:color="auto" w:fill="auto"/>
            <w:vAlign w:val="center"/>
          </w:tcPr>
          <w:p>
            <w:pPr>
              <w:spacing w:after="0"/>
              <w:rPr>
                <w:sz w:val="21"/>
                <w:szCs w:val="21"/>
              </w:rPr>
            </w:pPr>
            <w:r>
              <w:rPr>
                <w:rFonts w:hint="eastAsia"/>
                <w:sz w:val="21"/>
                <w:szCs w:val="21"/>
              </w:rPr>
              <w:t>从事发电厂锅炉、汽机专业的设备与系统的调试</w:t>
            </w:r>
          </w:p>
        </w:tc>
        <w:tc>
          <w:tcPr>
            <w:tcW w:w="1663" w:type="dxa"/>
            <w:tcBorders>
              <w:tl2br w:val="nil"/>
              <w:tr2bl w:val="nil"/>
            </w:tcBorders>
            <w:shd w:val="clear" w:color="auto" w:fill="auto"/>
            <w:vAlign w:val="center"/>
          </w:tcPr>
          <w:p>
            <w:pPr>
              <w:spacing w:after="0"/>
              <w:jc w:val="both"/>
              <w:rPr>
                <w:sz w:val="21"/>
                <w:szCs w:val="21"/>
              </w:rPr>
            </w:pPr>
            <w:r>
              <w:rPr>
                <w:rFonts w:hint="eastAsia"/>
                <w:sz w:val="21"/>
                <w:szCs w:val="21"/>
              </w:rPr>
              <w:t>热能与动力工程、机电一体化及相关专业</w:t>
            </w:r>
          </w:p>
        </w:tc>
        <w:tc>
          <w:tcPr>
            <w:tcW w:w="1325" w:type="dxa"/>
            <w:tcBorders>
              <w:tl2br w:val="nil"/>
              <w:tr2bl w:val="nil"/>
            </w:tcBorders>
            <w:shd w:val="clear" w:color="auto" w:fill="auto"/>
            <w:vAlign w:val="center"/>
          </w:tcPr>
          <w:p>
            <w:pPr>
              <w:spacing w:after="0"/>
              <w:jc w:val="center"/>
              <w:rPr>
                <w:sz w:val="21"/>
                <w:szCs w:val="21"/>
              </w:rPr>
            </w:pPr>
            <w:r>
              <w:rPr>
                <w:rFonts w:hint="eastAsia"/>
                <w:sz w:val="21"/>
                <w:szCs w:val="21"/>
                <w:lang w:val="en-US" w:eastAsia="zh-CN"/>
              </w:rPr>
              <w:t>大专</w:t>
            </w:r>
            <w:r>
              <w:rPr>
                <w:rFonts w:hint="eastAsia"/>
                <w:sz w:val="21"/>
                <w:szCs w:val="21"/>
              </w:rPr>
              <w:t>及以上</w:t>
            </w:r>
          </w:p>
        </w:tc>
        <w:tc>
          <w:tcPr>
            <w:tcW w:w="837" w:type="dxa"/>
            <w:tcBorders>
              <w:tl2br w:val="nil"/>
              <w:tr2bl w:val="nil"/>
            </w:tcBorders>
            <w:shd w:val="clear" w:color="auto" w:fill="auto"/>
            <w:vAlign w:val="center"/>
          </w:tcPr>
          <w:p>
            <w:pPr>
              <w:spacing w:after="0"/>
              <w:jc w:val="center"/>
              <w:rPr>
                <w:rFonts w:hint="default" w:eastAsia="微软雅黑"/>
                <w:sz w:val="21"/>
                <w:szCs w:val="21"/>
                <w:lang w:val="en-US" w:eastAsia="zh-CN"/>
              </w:rPr>
            </w:pPr>
            <w:r>
              <w:rPr>
                <w:rFonts w:hint="eastAsia"/>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1" w:hRule="atLeast"/>
        </w:trPr>
        <w:tc>
          <w:tcPr>
            <w:tcW w:w="851" w:type="dxa"/>
            <w:tcBorders>
              <w:tl2br w:val="nil"/>
              <w:tr2bl w:val="nil"/>
            </w:tcBorders>
            <w:shd w:val="clear" w:color="auto" w:fill="auto"/>
            <w:vAlign w:val="center"/>
          </w:tcPr>
          <w:p>
            <w:pPr>
              <w:spacing w:after="0"/>
              <w:jc w:val="center"/>
              <w:rPr>
                <w:sz w:val="21"/>
                <w:szCs w:val="21"/>
              </w:rPr>
            </w:pPr>
            <w:r>
              <w:rPr>
                <w:sz w:val="21"/>
                <w:szCs w:val="21"/>
              </w:rPr>
              <w:t>3</w:t>
            </w:r>
          </w:p>
        </w:tc>
        <w:tc>
          <w:tcPr>
            <w:tcW w:w="1772" w:type="dxa"/>
            <w:tcBorders>
              <w:tl2br w:val="nil"/>
              <w:tr2bl w:val="nil"/>
            </w:tcBorders>
            <w:shd w:val="clear" w:color="auto" w:fill="auto"/>
            <w:vAlign w:val="center"/>
          </w:tcPr>
          <w:p>
            <w:pPr>
              <w:spacing w:after="0"/>
              <w:jc w:val="both"/>
              <w:rPr>
                <w:sz w:val="21"/>
                <w:szCs w:val="21"/>
              </w:rPr>
            </w:pPr>
            <w:r>
              <w:rPr>
                <w:rFonts w:hint="eastAsia"/>
                <w:sz w:val="21"/>
                <w:szCs w:val="21"/>
                <w:lang w:val="en-US" w:eastAsia="zh-CN"/>
              </w:rPr>
              <w:t>热控</w:t>
            </w:r>
            <w:r>
              <w:rPr>
                <w:sz w:val="21"/>
                <w:szCs w:val="21"/>
              </w:rPr>
              <w:t>调试</w:t>
            </w:r>
            <w:r>
              <w:rPr>
                <w:rFonts w:hint="eastAsia"/>
                <w:sz w:val="21"/>
                <w:szCs w:val="21"/>
              </w:rPr>
              <w:t>技术员</w:t>
            </w:r>
          </w:p>
        </w:tc>
        <w:tc>
          <w:tcPr>
            <w:tcW w:w="2987" w:type="dxa"/>
            <w:tcBorders>
              <w:tl2br w:val="nil"/>
              <w:tr2bl w:val="nil"/>
            </w:tcBorders>
            <w:shd w:val="clear" w:color="auto" w:fill="auto"/>
            <w:vAlign w:val="center"/>
          </w:tcPr>
          <w:p>
            <w:pPr>
              <w:spacing w:after="0"/>
              <w:rPr>
                <w:sz w:val="21"/>
                <w:szCs w:val="21"/>
              </w:rPr>
            </w:pPr>
            <w:r>
              <w:rPr>
                <w:rFonts w:hint="eastAsia"/>
                <w:sz w:val="21"/>
                <w:szCs w:val="21"/>
              </w:rPr>
              <w:t>从事仪控专业的设备与系统的调试，包括电厂热工设备单体调试、系统调试</w:t>
            </w:r>
          </w:p>
        </w:tc>
        <w:tc>
          <w:tcPr>
            <w:tcW w:w="1663" w:type="dxa"/>
            <w:tcBorders>
              <w:tl2br w:val="nil"/>
              <w:tr2bl w:val="nil"/>
            </w:tcBorders>
            <w:shd w:val="clear" w:color="auto" w:fill="auto"/>
            <w:vAlign w:val="center"/>
          </w:tcPr>
          <w:p>
            <w:pPr>
              <w:spacing w:after="0"/>
              <w:jc w:val="both"/>
              <w:rPr>
                <w:sz w:val="21"/>
                <w:szCs w:val="21"/>
              </w:rPr>
            </w:pPr>
            <w:r>
              <w:rPr>
                <w:rFonts w:hint="eastAsia"/>
                <w:sz w:val="21"/>
                <w:szCs w:val="21"/>
              </w:rPr>
              <w:t>自动化、测控技术与仪器及相关专业</w:t>
            </w:r>
          </w:p>
        </w:tc>
        <w:tc>
          <w:tcPr>
            <w:tcW w:w="1325" w:type="dxa"/>
            <w:tcBorders>
              <w:tl2br w:val="nil"/>
              <w:tr2bl w:val="nil"/>
            </w:tcBorders>
            <w:shd w:val="clear" w:color="auto" w:fill="auto"/>
            <w:vAlign w:val="center"/>
          </w:tcPr>
          <w:p>
            <w:pPr>
              <w:spacing w:after="0"/>
              <w:jc w:val="center"/>
              <w:rPr>
                <w:sz w:val="21"/>
                <w:szCs w:val="21"/>
              </w:rPr>
            </w:pPr>
            <w:r>
              <w:rPr>
                <w:rFonts w:hint="eastAsia"/>
                <w:sz w:val="21"/>
                <w:szCs w:val="21"/>
                <w:lang w:val="en-US" w:eastAsia="zh-CN"/>
              </w:rPr>
              <w:t>大专</w:t>
            </w:r>
            <w:r>
              <w:rPr>
                <w:rFonts w:hint="eastAsia"/>
                <w:sz w:val="21"/>
                <w:szCs w:val="21"/>
              </w:rPr>
              <w:t>及以上</w:t>
            </w:r>
          </w:p>
        </w:tc>
        <w:tc>
          <w:tcPr>
            <w:tcW w:w="837" w:type="dxa"/>
            <w:tcBorders>
              <w:tl2br w:val="nil"/>
              <w:tr2bl w:val="nil"/>
            </w:tcBorders>
            <w:shd w:val="clear" w:color="auto" w:fill="auto"/>
            <w:vAlign w:val="center"/>
          </w:tcPr>
          <w:p>
            <w:pPr>
              <w:spacing w:after="0"/>
              <w:jc w:val="center"/>
              <w:rPr>
                <w:rFonts w:hint="default" w:eastAsia="微软雅黑"/>
                <w:sz w:val="21"/>
                <w:szCs w:val="21"/>
                <w:lang w:val="en-US" w:eastAsia="zh-CN"/>
              </w:rPr>
            </w:pPr>
            <w:r>
              <w:rPr>
                <w:rFonts w:hint="eastAsia"/>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1" w:hRule="atLeast"/>
        </w:trPr>
        <w:tc>
          <w:tcPr>
            <w:tcW w:w="851" w:type="dxa"/>
            <w:tcBorders>
              <w:tl2br w:val="nil"/>
              <w:tr2bl w:val="nil"/>
            </w:tcBorders>
            <w:shd w:val="clear" w:color="auto" w:fill="auto"/>
            <w:vAlign w:val="center"/>
          </w:tcPr>
          <w:p>
            <w:pPr>
              <w:spacing w:after="0"/>
              <w:jc w:val="center"/>
              <w:rPr>
                <w:rFonts w:hint="eastAsia" w:eastAsia="微软雅黑"/>
                <w:sz w:val="21"/>
                <w:szCs w:val="21"/>
                <w:lang w:val="en-US" w:eastAsia="zh-CN"/>
              </w:rPr>
            </w:pPr>
            <w:r>
              <w:rPr>
                <w:rFonts w:hint="eastAsia"/>
                <w:sz w:val="21"/>
                <w:szCs w:val="21"/>
                <w:lang w:val="en-US" w:eastAsia="zh-CN"/>
              </w:rPr>
              <w:t>4</w:t>
            </w:r>
          </w:p>
        </w:tc>
        <w:tc>
          <w:tcPr>
            <w:tcW w:w="1772" w:type="dxa"/>
            <w:tcBorders>
              <w:tl2br w:val="nil"/>
              <w:tr2bl w:val="nil"/>
            </w:tcBorders>
            <w:shd w:val="clear" w:color="auto" w:fill="auto"/>
            <w:vAlign w:val="center"/>
          </w:tcPr>
          <w:p>
            <w:pPr>
              <w:spacing w:after="0"/>
              <w:jc w:val="both"/>
              <w:rPr>
                <w:rFonts w:hint="eastAsia"/>
                <w:sz w:val="21"/>
                <w:szCs w:val="21"/>
                <w:lang w:val="en-US" w:eastAsia="zh-CN"/>
              </w:rPr>
            </w:pPr>
            <w:r>
              <w:rPr>
                <w:rFonts w:hint="eastAsia"/>
                <w:sz w:val="21"/>
                <w:szCs w:val="21"/>
                <w:lang w:val="en-US" w:eastAsia="zh-CN"/>
              </w:rPr>
              <w:t>环化调试技术员</w:t>
            </w:r>
          </w:p>
        </w:tc>
        <w:tc>
          <w:tcPr>
            <w:tcW w:w="2987" w:type="dxa"/>
            <w:tcBorders>
              <w:tl2br w:val="nil"/>
              <w:tr2bl w:val="nil"/>
            </w:tcBorders>
            <w:shd w:val="clear" w:color="auto" w:fill="auto"/>
            <w:vAlign w:val="center"/>
          </w:tcPr>
          <w:p>
            <w:pPr>
              <w:spacing w:after="0"/>
              <w:rPr>
                <w:rFonts w:hint="eastAsia" w:eastAsia="微软雅黑"/>
                <w:sz w:val="21"/>
                <w:szCs w:val="21"/>
                <w:lang w:val="en-US" w:eastAsia="zh-CN"/>
              </w:rPr>
            </w:pPr>
            <w:r>
              <w:rPr>
                <w:rFonts w:hint="eastAsia"/>
                <w:sz w:val="21"/>
                <w:szCs w:val="21"/>
                <w:lang w:val="en-US" w:eastAsia="zh-CN"/>
              </w:rPr>
              <w:t>从事环化专业分系统及整套调试工作，包括生产技术服务、性能试验、优化调整试验等工作</w:t>
            </w:r>
          </w:p>
        </w:tc>
        <w:tc>
          <w:tcPr>
            <w:tcW w:w="1663" w:type="dxa"/>
            <w:tcBorders>
              <w:tl2br w:val="nil"/>
              <w:tr2bl w:val="nil"/>
            </w:tcBorders>
            <w:shd w:val="clear" w:color="auto" w:fill="auto"/>
            <w:vAlign w:val="center"/>
          </w:tcPr>
          <w:p>
            <w:pPr>
              <w:spacing w:after="0"/>
              <w:jc w:val="both"/>
              <w:rPr>
                <w:rFonts w:hint="eastAsia" w:eastAsia="微软雅黑"/>
                <w:sz w:val="21"/>
                <w:szCs w:val="21"/>
                <w:lang w:val="en-US" w:eastAsia="zh-CN"/>
              </w:rPr>
            </w:pPr>
            <w:r>
              <w:rPr>
                <w:rFonts w:hint="eastAsia"/>
                <w:sz w:val="21"/>
                <w:szCs w:val="21"/>
                <w:lang w:val="en-US" w:eastAsia="zh-CN"/>
              </w:rPr>
              <w:t>环境工程、应用化学及相关专业</w:t>
            </w:r>
          </w:p>
        </w:tc>
        <w:tc>
          <w:tcPr>
            <w:tcW w:w="1325" w:type="dxa"/>
            <w:tcBorders>
              <w:tl2br w:val="nil"/>
              <w:tr2bl w:val="nil"/>
            </w:tcBorders>
            <w:shd w:val="clear" w:color="auto" w:fill="auto"/>
            <w:vAlign w:val="center"/>
          </w:tcPr>
          <w:p>
            <w:pPr>
              <w:spacing w:after="0"/>
              <w:jc w:val="center"/>
              <w:rPr>
                <w:rFonts w:hint="eastAsia"/>
                <w:sz w:val="21"/>
                <w:szCs w:val="21"/>
                <w:lang w:val="en-US" w:eastAsia="zh-CN"/>
              </w:rPr>
            </w:pPr>
            <w:r>
              <w:rPr>
                <w:rFonts w:hint="eastAsia"/>
                <w:sz w:val="21"/>
                <w:szCs w:val="21"/>
                <w:lang w:val="en-US" w:eastAsia="zh-CN"/>
              </w:rPr>
              <w:t>大专及以上</w:t>
            </w:r>
          </w:p>
        </w:tc>
        <w:tc>
          <w:tcPr>
            <w:tcW w:w="837" w:type="dxa"/>
            <w:tcBorders>
              <w:tl2br w:val="nil"/>
              <w:tr2bl w:val="nil"/>
            </w:tcBorders>
            <w:shd w:val="clear" w:color="auto" w:fill="auto"/>
            <w:vAlign w:val="center"/>
          </w:tcPr>
          <w:p>
            <w:pPr>
              <w:spacing w:after="0"/>
              <w:jc w:val="center"/>
              <w:rPr>
                <w:rFonts w:hint="eastAsia"/>
                <w:sz w:val="21"/>
                <w:szCs w:val="21"/>
                <w:lang w:val="en-US" w:eastAsia="zh-CN"/>
              </w:rPr>
            </w:pPr>
            <w:r>
              <w:rPr>
                <w:rFonts w:hint="eastAsia"/>
                <w:sz w:val="21"/>
                <w:szCs w:val="21"/>
                <w:lang w:val="en-US" w:eastAsia="zh-CN"/>
              </w:rPr>
              <w:t>5</w:t>
            </w:r>
          </w:p>
        </w:tc>
      </w:tr>
    </w:tbl>
    <w:p>
      <w:pPr>
        <w:spacing w:line="220" w:lineRule="exact"/>
        <w:rPr>
          <w:sz w:val="24"/>
          <w:szCs w:val="24"/>
        </w:rPr>
      </w:pPr>
    </w:p>
    <w:p>
      <w:pPr>
        <w:spacing w:line="360" w:lineRule="exact"/>
        <w:rPr>
          <w:b/>
          <w:sz w:val="24"/>
          <w:szCs w:val="24"/>
        </w:rPr>
      </w:pPr>
      <w:r>
        <w:rPr>
          <w:rFonts w:hint="eastAsia"/>
          <w:b/>
          <w:sz w:val="24"/>
          <w:szCs w:val="24"/>
        </w:rPr>
        <w:t>二、应聘基本条件：</w:t>
      </w:r>
    </w:p>
    <w:p>
      <w:pPr>
        <w:spacing w:line="400" w:lineRule="exact"/>
        <w:rPr>
          <w:rFonts w:ascii="微软雅黑" w:hAnsi="微软雅黑"/>
          <w:color w:val="000000" w:themeColor="text1"/>
          <w:sz w:val="24"/>
          <w:szCs w:val="24"/>
          <w14:textFill>
            <w14:solidFill>
              <w14:schemeClr w14:val="tx1"/>
            </w14:solidFill>
          </w14:textFill>
        </w:rPr>
      </w:pPr>
      <w:r>
        <w:rPr>
          <w:rFonts w:hint="eastAsia" w:ascii="微软雅黑" w:hAnsi="微软雅黑"/>
          <w:color w:val="000000" w:themeColor="text1"/>
          <w:sz w:val="24"/>
          <w:szCs w:val="24"/>
          <w14:textFill>
            <w14:solidFill>
              <w14:schemeClr w14:val="tx1"/>
            </w14:solidFill>
          </w14:textFill>
        </w:rPr>
        <w:t>1、吃苦耐劳，适应流动性施工企业工作环境；</w:t>
      </w:r>
    </w:p>
    <w:p>
      <w:pPr>
        <w:spacing w:line="400" w:lineRule="exact"/>
        <w:rPr>
          <w:rFonts w:ascii="微软雅黑" w:hAnsi="微软雅黑"/>
          <w:color w:val="000000" w:themeColor="text1"/>
          <w:sz w:val="24"/>
          <w:szCs w:val="24"/>
          <w14:textFill>
            <w14:solidFill>
              <w14:schemeClr w14:val="tx1"/>
            </w14:solidFill>
          </w14:textFill>
        </w:rPr>
      </w:pPr>
      <w:r>
        <w:rPr>
          <w:rFonts w:hint="eastAsia" w:ascii="微软雅黑" w:hAnsi="微软雅黑"/>
          <w:color w:val="000000" w:themeColor="text1"/>
          <w:sz w:val="24"/>
          <w:szCs w:val="24"/>
          <w14:textFill>
            <w14:solidFill>
              <w14:schemeClr w14:val="tx1"/>
            </w14:solidFill>
          </w14:textFill>
        </w:rPr>
        <w:t>2、身体健康，主要无色盲、高血压、心脏病、精神性及传染性疾病。</w:t>
      </w:r>
    </w:p>
    <w:p>
      <w:pPr>
        <w:spacing w:line="360" w:lineRule="exact"/>
        <w:rPr>
          <w:b/>
          <w:sz w:val="24"/>
          <w:szCs w:val="24"/>
        </w:rPr>
      </w:pPr>
      <w:r>
        <w:rPr>
          <w:rFonts w:hint="eastAsia"/>
          <w:b/>
          <w:sz w:val="24"/>
          <w:szCs w:val="24"/>
        </w:rPr>
        <w:t>三、工资福利：</w:t>
      </w:r>
    </w:p>
    <w:p>
      <w:pPr>
        <w:numPr>
          <w:ilvl w:val="0"/>
          <w:numId w:val="2"/>
        </w:numPr>
        <w:spacing w:line="400" w:lineRule="exact"/>
        <w:rPr>
          <w:rFonts w:ascii="微软雅黑" w:hAnsi="微软雅黑"/>
          <w:color w:val="000000" w:themeColor="text1"/>
          <w:sz w:val="24"/>
          <w:szCs w:val="24"/>
          <w14:textFill>
            <w14:solidFill>
              <w14:schemeClr w14:val="tx1"/>
            </w14:solidFill>
          </w14:textFill>
        </w:rPr>
      </w:pPr>
      <w:r>
        <w:rPr>
          <w:rFonts w:hint="eastAsia" w:ascii="微软雅黑" w:hAnsi="微软雅黑"/>
          <w:color w:val="000000" w:themeColor="text1"/>
          <w:sz w:val="24"/>
          <w:szCs w:val="24"/>
          <w14:textFill>
            <w14:solidFill>
              <w14:schemeClr w14:val="tx1"/>
            </w14:solidFill>
          </w14:textFill>
        </w:rPr>
        <w:t>提供具有行业竞争力，与个人价值和绩效贡献相匹配的薪酬待遇；</w:t>
      </w:r>
    </w:p>
    <w:p>
      <w:pPr>
        <w:numPr>
          <w:ilvl w:val="0"/>
          <w:numId w:val="2"/>
        </w:numPr>
        <w:spacing w:line="400" w:lineRule="exact"/>
        <w:rPr>
          <w:rFonts w:ascii="微软雅黑" w:hAnsi="微软雅黑"/>
          <w:color w:val="000000" w:themeColor="text1"/>
          <w:sz w:val="24"/>
          <w:szCs w:val="24"/>
          <w14:textFill>
            <w14:solidFill>
              <w14:schemeClr w14:val="tx1"/>
            </w14:solidFill>
          </w14:textFill>
        </w:rPr>
      </w:pPr>
      <w:r>
        <w:rPr>
          <w:rFonts w:hint="eastAsia" w:ascii="微软雅黑" w:hAnsi="微软雅黑"/>
          <w:color w:val="000000" w:themeColor="text1"/>
          <w:sz w:val="24"/>
          <w:szCs w:val="24"/>
          <w14:textFill>
            <w14:solidFill>
              <w14:schemeClr w14:val="tx1"/>
            </w14:solidFill>
          </w14:textFill>
        </w:rPr>
        <w:t>五险一金；</w:t>
      </w:r>
    </w:p>
    <w:p>
      <w:pPr>
        <w:numPr>
          <w:ilvl w:val="0"/>
          <w:numId w:val="2"/>
        </w:numPr>
        <w:spacing w:line="400" w:lineRule="exact"/>
      </w:pPr>
      <w:r>
        <w:rPr>
          <w:rFonts w:hint="eastAsia"/>
        </w:rPr>
        <w:t>取证培训、岗位培训；</w:t>
      </w:r>
    </w:p>
    <w:p>
      <w:pPr>
        <w:numPr>
          <w:ilvl w:val="0"/>
          <w:numId w:val="2"/>
        </w:numPr>
        <w:spacing w:line="400" w:lineRule="exact"/>
      </w:pPr>
      <w:r>
        <w:rPr>
          <w:rFonts w:hint="eastAsia"/>
        </w:rPr>
        <w:t>带薪年休假、探亲假、婚丧假、产假、病假等各种假期；</w:t>
      </w:r>
    </w:p>
    <w:p>
      <w:pPr>
        <w:spacing w:line="360" w:lineRule="exact"/>
        <w:rPr>
          <w:b/>
          <w:sz w:val="24"/>
          <w:szCs w:val="24"/>
        </w:rPr>
      </w:pPr>
      <w:r>
        <w:rPr>
          <w:rFonts w:hint="eastAsia"/>
          <w:b/>
          <w:sz w:val="24"/>
          <w:szCs w:val="24"/>
        </w:rPr>
        <w:t>四、招聘流程及联系方式</w:t>
      </w:r>
    </w:p>
    <w:p>
      <w:pPr>
        <w:numPr>
          <w:ilvl w:val="0"/>
          <w:numId w:val="3"/>
        </w:numPr>
        <w:spacing w:line="400" w:lineRule="exact"/>
        <w:rPr>
          <w:rFonts w:ascii="微软雅黑" w:hAnsi="微软雅黑"/>
          <w:color w:val="000000" w:themeColor="text1"/>
          <w:sz w:val="24"/>
          <w:szCs w:val="24"/>
          <w14:textFill>
            <w14:solidFill>
              <w14:schemeClr w14:val="tx1"/>
            </w14:solidFill>
          </w14:textFill>
        </w:rPr>
      </w:pPr>
      <w:r>
        <w:rPr>
          <w:rFonts w:hint="eastAsia" w:ascii="微软雅黑" w:hAnsi="微软雅黑"/>
          <w:color w:val="000000" w:themeColor="text1"/>
          <w:sz w:val="24"/>
          <w:szCs w:val="24"/>
          <w14:textFill>
            <w14:solidFill>
              <w14:schemeClr w14:val="tx1"/>
            </w14:solidFill>
          </w14:textFill>
        </w:rPr>
        <w:t>投递简历</w:t>
      </w:r>
      <w:r>
        <w:rPr>
          <w:rFonts w:hint="eastAsia" w:ascii="微软雅黑" w:hAnsi="微软雅黑"/>
          <w:color w:val="000000" w:themeColor="text1"/>
          <w:sz w:val="24"/>
          <w:szCs w:val="24"/>
          <w:lang w:val="en-US" w:eastAsia="zh-CN"/>
          <w14:textFill>
            <w14:solidFill>
              <w14:schemeClr w14:val="tx1"/>
            </w14:solidFill>
          </w14:textFill>
        </w:rPr>
        <w:t>--</w:t>
      </w:r>
      <w:r>
        <w:rPr>
          <w:rFonts w:hint="eastAsia" w:ascii="微软雅黑" w:hAnsi="微软雅黑"/>
          <w:color w:val="000000" w:themeColor="text1"/>
          <w:sz w:val="24"/>
          <w:szCs w:val="24"/>
          <w14:textFill>
            <w14:solidFill>
              <w14:schemeClr w14:val="tx1"/>
            </w14:solidFill>
          </w14:textFill>
        </w:rPr>
        <w:t>面试--体检--签约；</w:t>
      </w:r>
    </w:p>
    <w:p>
      <w:pPr>
        <w:numPr>
          <w:ilvl w:val="0"/>
          <w:numId w:val="3"/>
        </w:numPr>
        <w:spacing w:line="400" w:lineRule="exact"/>
        <w:rPr>
          <w:rFonts w:ascii="微软雅黑" w:hAnsi="微软雅黑"/>
          <w:color w:val="000000" w:themeColor="text1"/>
          <w:sz w:val="24"/>
          <w:szCs w:val="24"/>
          <w14:textFill>
            <w14:solidFill>
              <w14:schemeClr w14:val="tx1"/>
            </w14:solidFill>
          </w14:textFill>
        </w:rPr>
      </w:pPr>
      <w:r>
        <w:rPr>
          <w:rFonts w:hint="eastAsia" w:ascii="微软雅黑" w:hAnsi="微软雅黑"/>
          <w:color w:val="000000" w:themeColor="text1"/>
          <w:sz w:val="24"/>
          <w:szCs w:val="24"/>
          <w14:textFill>
            <w14:solidFill>
              <w14:schemeClr w14:val="tx1"/>
            </w14:solidFill>
          </w14:textFill>
        </w:rPr>
        <w:t>电子简历以“专业—学校—学历—姓名”命名；</w:t>
      </w:r>
    </w:p>
    <w:p>
      <w:pPr>
        <w:spacing w:line="400" w:lineRule="exact"/>
        <w:rPr>
          <w:rFonts w:ascii="微软雅黑" w:hAnsi="微软雅黑"/>
          <w:color w:val="000000" w:themeColor="text1"/>
          <w:sz w:val="24"/>
          <w:szCs w:val="24"/>
          <w14:textFill>
            <w14:solidFill>
              <w14:schemeClr w14:val="tx1"/>
            </w14:solidFill>
          </w14:textFill>
        </w:rPr>
      </w:pPr>
      <w:r>
        <w:rPr>
          <w:rFonts w:hint="eastAsia" w:ascii="微软雅黑" w:hAnsi="微软雅黑"/>
          <w:color w:val="000000" w:themeColor="text1"/>
          <w:sz w:val="24"/>
          <w:szCs w:val="24"/>
          <w14:textFill>
            <w14:solidFill>
              <w14:schemeClr w14:val="tx1"/>
            </w14:solidFill>
          </w14:textFill>
        </w:rPr>
        <w:t xml:space="preserve">     邮箱地址为：</w:t>
      </w:r>
      <w:r>
        <w:rPr>
          <w:rFonts w:hint="eastAsia"/>
          <w:lang w:val="en-US" w:eastAsia="zh-CN"/>
        </w:rPr>
        <w:t>864722108</w:t>
      </w:r>
      <w:r>
        <w:rPr>
          <w:rFonts w:hint="eastAsia"/>
        </w:rPr>
        <w:t>@</w:t>
      </w:r>
      <w:r>
        <w:t>qq.com</w:t>
      </w:r>
    </w:p>
    <w:p>
      <w:pPr>
        <w:spacing w:line="400" w:lineRule="exact"/>
        <w:rPr>
          <w:rFonts w:ascii="微软雅黑" w:hAnsi="微软雅黑"/>
          <w:color w:val="000000" w:themeColor="text1"/>
          <w:sz w:val="24"/>
          <w:szCs w:val="24"/>
          <w14:textFill>
            <w14:solidFill>
              <w14:schemeClr w14:val="tx1"/>
            </w14:solidFill>
          </w14:textFill>
        </w:rPr>
      </w:pPr>
      <w:r>
        <w:rPr>
          <w:rFonts w:hint="eastAsia" w:ascii="微软雅黑" w:hAnsi="微软雅黑"/>
          <w:color w:val="000000" w:themeColor="text1"/>
          <w:sz w:val="24"/>
          <w:szCs w:val="24"/>
          <w14:textFill>
            <w14:solidFill>
              <w14:schemeClr w14:val="tx1"/>
            </w14:solidFill>
          </w14:textFill>
        </w:rPr>
        <w:t xml:space="preserve">      </w:t>
      </w:r>
      <w:bookmarkStart w:id="0" w:name="_GoBack"/>
      <w:bookmarkEnd w:id="0"/>
      <w:r>
        <w:rPr>
          <w:rFonts w:hint="eastAsia" w:ascii="微软雅黑" w:hAnsi="微软雅黑"/>
          <w:color w:val="000000" w:themeColor="text1"/>
          <w:sz w:val="24"/>
          <w:szCs w:val="24"/>
          <w14:textFill>
            <w14:solidFill>
              <w14:schemeClr w14:val="tx1"/>
            </w14:solidFill>
          </w14:textFill>
        </w:rPr>
        <w:t>公司地址：浙江省杭州市萧山经济技术开发区高新八路99号</w:t>
      </w:r>
    </w:p>
    <w:p/>
    <w:p>
      <w:pPr>
        <w:tabs>
          <w:tab w:val="left" w:pos="2895"/>
        </w:tabs>
      </w:pPr>
      <w:r>
        <w:tab/>
      </w:r>
    </w:p>
    <w:sectPr>
      <w:pgSz w:w="11906" w:h="16838"/>
      <w:pgMar w:top="1418" w:right="1416" w:bottom="1134" w:left="156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40DA74"/>
    <w:multiLevelType w:val="singleLevel"/>
    <w:tmpl w:val="5840DA74"/>
    <w:lvl w:ilvl="0" w:tentative="0">
      <w:start w:val="1"/>
      <w:numFmt w:val="decimal"/>
      <w:suff w:val="nothing"/>
      <w:lvlText w:val="%1、"/>
      <w:lvlJc w:val="left"/>
    </w:lvl>
  </w:abstractNum>
  <w:abstractNum w:abstractNumId="1">
    <w:nsid w:val="5840DAC5"/>
    <w:multiLevelType w:val="singleLevel"/>
    <w:tmpl w:val="5840DAC5"/>
    <w:lvl w:ilvl="0" w:tentative="0">
      <w:start w:val="1"/>
      <w:numFmt w:val="decimal"/>
      <w:suff w:val="nothing"/>
      <w:lvlText w:val="%1、"/>
      <w:lvlJc w:val="left"/>
    </w:lvl>
  </w:abstractNum>
  <w:abstractNum w:abstractNumId="2">
    <w:nsid w:val="5F740B2F"/>
    <w:multiLevelType w:val="singleLevel"/>
    <w:tmpl w:val="5F740B2F"/>
    <w:lvl w:ilvl="0" w:tentative="0">
      <w:start w:val="1"/>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720"/>
  <w:noPunctuationKerning w:val="1"/>
  <w:characterSpacingControl w:val="doNotCompress"/>
  <w:footnotePr>
    <w:footnote w:id="0"/>
    <w:footnote w:id="1"/>
  </w:foot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hNGNhYzNlYzc5YjM1MmQ5ZTc5MzQwZGM0OTU0NTgifQ=="/>
  </w:docVars>
  <w:rsids>
    <w:rsidRoot w:val="00DF31E5"/>
    <w:rsid w:val="000754CD"/>
    <w:rsid w:val="000E34BC"/>
    <w:rsid w:val="00115C23"/>
    <w:rsid w:val="0012568E"/>
    <w:rsid w:val="001336DF"/>
    <w:rsid w:val="00177D0E"/>
    <w:rsid w:val="001864AE"/>
    <w:rsid w:val="001A709A"/>
    <w:rsid w:val="001E0A48"/>
    <w:rsid w:val="002059EC"/>
    <w:rsid w:val="00223623"/>
    <w:rsid w:val="002A3548"/>
    <w:rsid w:val="002C210E"/>
    <w:rsid w:val="002E31FE"/>
    <w:rsid w:val="002F1BD6"/>
    <w:rsid w:val="00323B43"/>
    <w:rsid w:val="00336280"/>
    <w:rsid w:val="003560F9"/>
    <w:rsid w:val="003B5C27"/>
    <w:rsid w:val="003D37D8"/>
    <w:rsid w:val="003F165D"/>
    <w:rsid w:val="00401AB6"/>
    <w:rsid w:val="004358AB"/>
    <w:rsid w:val="004E1C4E"/>
    <w:rsid w:val="005C205E"/>
    <w:rsid w:val="005D7B9B"/>
    <w:rsid w:val="00646CB7"/>
    <w:rsid w:val="00761C4F"/>
    <w:rsid w:val="00766D11"/>
    <w:rsid w:val="007F1113"/>
    <w:rsid w:val="00847A0B"/>
    <w:rsid w:val="008A0C80"/>
    <w:rsid w:val="008B7726"/>
    <w:rsid w:val="008D1588"/>
    <w:rsid w:val="00911590"/>
    <w:rsid w:val="009560E5"/>
    <w:rsid w:val="009D50A8"/>
    <w:rsid w:val="00AB2070"/>
    <w:rsid w:val="00AE0118"/>
    <w:rsid w:val="00AE1869"/>
    <w:rsid w:val="00B12E76"/>
    <w:rsid w:val="00B252AB"/>
    <w:rsid w:val="00B27B92"/>
    <w:rsid w:val="00CC730D"/>
    <w:rsid w:val="00CD5265"/>
    <w:rsid w:val="00CF3AD0"/>
    <w:rsid w:val="00D54892"/>
    <w:rsid w:val="00D960F9"/>
    <w:rsid w:val="00DB5E25"/>
    <w:rsid w:val="00DF31E5"/>
    <w:rsid w:val="00EE456D"/>
    <w:rsid w:val="00F4390D"/>
    <w:rsid w:val="00F760C2"/>
    <w:rsid w:val="00FD4AC0"/>
    <w:rsid w:val="0CD378E3"/>
    <w:rsid w:val="15852B9A"/>
    <w:rsid w:val="197F55D5"/>
    <w:rsid w:val="1E341EB3"/>
    <w:rsid w:val="1E9E5DEF"/>
    <w:rsid w:val="1ED51F1C"/>
    <w:rsid w:val="21910FD3"/>
    <w:rsid w:val="23FB1EA3"/>
    <w:rsid w:val="29B8135D"/>
    <w:rsid w:val="2A625081"/>
    <w:rsid w:val="2B8604F1"/>
    <w:rsid w:val="2CAD0059"/>
    <w:rsid w:val="2DC558D1"/>
    <w:rsid w:val="31DE2205"/>
    <w:rsid w:val="36B224E3"/>
    <w:rsid w:val="3AA65861"/>
    <w:rsid w:val="3AE13CEF"/>
    <w:rsid w:val="3AF64E93"/>
    <w:rsid w:val="3E430195"/>
    <w:rsid w:val="409D4E4A"/>
    <w:rsid w:val="41206371"/>
    <w:rsid w:val="422D4194"/>
    <w:rsid w:val="4730036C"/>
    <w:rsid w:val="4A6D382C"/>
    <w:rsid w:val="4A9B0C03"/>
    <w:rsid w:val="4BBC1047"/>
    <w:rsid w:val="50006C19"/>
    <w:rsid w:val="52895E29"/>
    <w:rsid w:val="53D3742B"/>
    <w:rsid w:val="54512EE4"/>
    <w:rsid w:val="5D9B4D61"/>
    <w:rsid w:val="61A30FEA"/>
    <w:rsid w:val="62D65E2F"/>
    <w:rsid w:val="67771763"/>
    <w:rsid w:val="68705DB0"/>
    <w:rsid w:val="69756F46"/>
    <w:rsid w:val="6C2012B9"/>
    <w:rsid w:val="6C737F73"/>
    <w:rsid w:val="6ED10761"/>
    <w:rsid w:val="704C6F92"/>
    <w:rsid w:val="709C05DD"/>
    <w:rsid w:val="70C11735"/>
    <w:rsid w:val="714B1F27"/>
    <w:rsid w:val="790E0B0C"/>
    <w:rsid w:val="79242D46"/>
    <w:rsid w:val="797015D6"/>
    <w:rsid w:val="7AD763EB"/>
    <w:rsid w:val="7E251BCF"/>
    <w:rsid w:val="7EB779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customStyle="1" w:styleId="2">
    <w:name w:val="样式 正文 + 首行缩进:  2 字符"/>
    <w:basedOn w:val="1"/>
    <w:qFormat/>
    <w:uiPriority w:val="0"/>
    <w:pPr>
      <w:keepNext/>
      <w:keepLines/>
      <w:spacing w:line="360" w:lineRule="auto"/>
      <w:ind w:firstLine="880" w:firstLineChars="200"/>
    </w:pPr>
    <w:rPr>
      <w:rFonts w:ascii="宋体" w:hAnsi="宋体" w:cs="宋体"/>
    </w:rPr>
  </w:style>
  <w:style w:type="paragraph" w:styleId="4">
    <w:name w:val="Balloon Text"/>
    <w:basedOn w:val="1"/>
    <w:link w:val="12"/>
    <w:unhideWhenUsed/>
    <w:qFormat/>
    <w:uiPriority w:val="99"/>
    <w:pPr>
      <w:spacing w:after="0"/>
    </w:pPr>
    <w:rPr>
      <w:sz w:val="18"/>
      <w:szCs w:val="18"/>
    </w:rPr>
  </w:style>
  <w:style w:type="paragraph" w:styleId="5">
    <w:name w:val="footer"/>
    <w:basedOn w:val="1"/>
    <w:link w:val="14"/>
    <w:unhideWhenUsed/>
    <w:qFormat/>
    <w:uiPriority w:val="99"/>
    <w:pPr>
      <w:tabs>
        <w:tab w:val="center" w:pos="4153"/>
        <w:tab w:val="right" w:pos="8306"/>
      </w:tabs>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jc w:val="center"/>
    </w:pPr>
    <w:rPr>
      <w:sz w:val="18"/>
      <w:szCs w:val="18"/>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Strong"/>
    <w:basedOn w:val="9"/>
    <w:qFormat/>
    <w:uiPriority w:val="22"/>
    <w:rPr>
      <w:b/>
    </w:rPr>
  </w:style>
  <w:style w:type="character" w:styleId="11">
    <w:name w:val="Hyperlink"/>
    <w:basedOn w:val="9"/>
    <w:unhideWhenUsed/>
    <w:qFormat/>
    <w:uiPriority w:val="99"/>
    <w:rPr>
      <w:color w:val="9454C3" w:themeColor="hyperlink"/>
      <w:u w:val="single"/>
      <w14:textFill>
        <w14:solidFill>
          <w14:schemeClr w14:val="hlink"/>
        </w14:solidFill>
      </w14:textFill>
    </w:rPr>
  </w:style>
  <w:style w:type="character" w:customStyle="1" w:styleId="12">
    <w:name w:val="批注框文本 字符"/>
    <w:basedOn w:val="9"/>
    <w:link w:val="4"/>
    <w:semiHidden/>
    <w:qFormat/>
    <w:uiPriority w:val="99"/>
    <w:rPr>
      <w:rFonts w:ascii="Tahoma" w:hAnsi="Tahoma"/>
      <w:sz w:val="18"/>
      <w:szCs w:val="18"/>
    </w:rPr>
  </w:style>
  <w:style w:type="character" w:customStyle="1" w:styleId="13">
    <w:name w:val="页眉 字符"/>
    <w:basedOn w:val="9"/>
    <w:link w:val="6"/>
    <w:semiHidden/>
    <w:qFormat/>
    <w:uiPriority w:val="99"/>
    <w:rPr>
      <w:rFonts w:ascii="Tahoma" w:hAnsi="Tahoma"/>
      <w:sz w:val="18"/>
      <w:szCs w:val="18"/>
    </w:rPr>
  </w:style>
  <w:style w:type="character" w:customStyle="1" w:styleId="14">
    <w:name w:val="页脚 字符"/>
    <w:basedOn w:val="9"/>
    <w:link w:val="5"/>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蓝色暖调">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102F55-FAFA-48EF-B559-6AF2A66E8FB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1183</Words>
  <Characters>1253</Characters>
  <Lines>9</Lines>
  <Paragraphs>2</Paragraphs>
  <TotalTime>82</TotalTime>
  <ScaleCrop>false</ScaleCrop>
  <LinksUpToDate>false</LinksUpToDate>
  <CharactersWithSpaces>1265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2022-10-13T07:16:00Z</dcterms:created>
  <dc:creator>赵敏</dc:creator>
  <cp:lastModifiedBy>WPS_1694303832</cp:lastModifiedBy>
  <dcterms:modified xsi:type="dcterms:W3CDTF">2023-12-18T07:41:32Z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91930A8C0A23421DB62FDC2949946D74</vt:lpwstr>
  </property>
</Properties>
</file>