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88F9B1">
      <w:pPr>
        <w:jc w:val="center"/>
        <w:rPr>
          <w:rFonts w:ascii="宋体" w:hAnsi="宋体"/>
          <w:b/>
          <w:bCs/>
          <w:kern w:val="44"/>
          <w:sz w:val="44"/>
          <w:szCs w:val="44"/>
        </w:rPr>
      </w:pPr>
      <w:r>
        <w:rPr>
          <w:rFonts w:hint="eastAsia" w:ascii="宋体" w:hAnsi="宋体"/>
          <w:b/>
          <w:bCs/>
          <w:kern w:val="44"/>
          <w:sz w:val="44"/>
          <w:szCs w:val="44"/>
        </w:rPr>
        <w:t xml:space="preserve"> 江西兄弟医药有限公司</w:t>
      </w:r>
    </w:p>
    <w:p w14:paraId="07E4BA95">
      <w:pPr>
        <w:jc w:val="center"/>
        <w:rPr>
          <w:rFonts w:ascii="宋体" w:hAnsi="宋体"/>
          <w:b/>
          <w:bCs/>
          <w:kern w:val="44"/>
          <w:sz w:val="40"/>
          <w:szCs w:val="44"/>
        </w:rPr>
      </w:pPr>
      <w:r>
        <w:rPr>
          <w:rFonts w:hint="eastAsia" w:ascii="宋体" w:hAnsi="宋体"/>
          <w:b/>
          <w:bCs/>
          <w:kern w:val="44"/>
          <w:sz w:val="40"/>
          <w:szCs w:val="44"/>
        </w:rPr>
        <w:t>招聘宣传海报</w:t>
      </w:r>
    </w:p>
    <w:p w14:paraId="7DE7E1D0">
      <w:pPr>
        <w:spacing w:line="480" w:lineRule="auto"/>
        <w:rPr>
          <w:rFonts w:ascii="宋体" w:hAnsi="宋体" w:cs="Tahoma"/>
          <w:b/>
          <w:bCs/>
          <w:kern w:val="0"/>
          <w:sz w:val="24"/>
          <w:szCs w:val="21"/>
        </w:rPr>
      </w:pPr>
      <w:r>
        <w:rPr>
          <w:rFonts w:hint="eastAsia" w:ascii="宋体" w:hAnsi="宋体" w:cs="Tahoma"/>
          <w:b/>
          <w:bCs/>
          <w:kern w:val="0"/>
          <w:sz w:val="24"/>
          <w:szCs w:val="21"/>
        </w:rPr>
        <w:t>一、公司简介</w:t>
      </w:r>
    </w:p>
    <w:p w14:paraId="66861F30">
      <w:pPr>
        <w:spacing w:line="600" w:lineRule="auto"/>
        <w:ind w:firstLine="442" w:firstLineChars="200"/>
        <w:rPr>
          <w:rFonts w:asciiTheme="minorEastAsia" w:hAnsiTheme="minorEastAsia" w:eastAsiaTheme="minorEastAsia"/>
          <w:sz w:val="22"/>
          <w:szCs w:val="21"/>
        </w:rPr>
      </w:pPr>
      <w:r>
        <w:rPr>
          <w:rFonts w:hint="eastAsia" w:asciiTheme="minorEastAsia" w:hAnsiTheme="minorEastAsia" w:eastAsiaTheme="minorEastAsia"/>
          <w:b/>
          <w:sz w:val="22"/>
          <w:szCs w:val="21"/>
        </w:rPr>
        <w:t>江西兄弟医药有限公司：</w:t>
      </w:r>
      <w:r>
        <w:rPr>
          <w:rFonts w:hint="eastAsia" w:asciiTheme="minorEastAsia" w:hAnsiTheme="minorEastAsia" w:eastAsiaTheme="minorEastAsia"/>
          <w:sz w:val="22"/>
          <w:szCs w:val="21"/>
        </w:rPr>
        <w:t>由浙江上市公司兄弟科技股份有限公司投资建设（</w:t>
      </w:r>
      <w:r>
        <w:rPr>
          <w:rFonts w:hint="eastAsia" w:asciiTheme="minorEastAsia" w:hAnsiTheme="minorEastAsia" w:eastAsiaTheme="minorEastAsia"/>
          <w:b/>
          <w:color w:val="FF0000"/>
          <w:sz w:val="22"/>
          <w:szCs w:val="21"/>
        </w:rPr>
        <w:t>股票代码：0</w:t>
      </w:r>
      <w:r>
        <w:rPr>
          <w:rFonts w:asciiTheme="minorEastAsia" w:hAnsiTheme="minorEastAsia" w:eastAsiaTheme="minorEastAsia"/>
          <w:b/>
          <w:color w:val="FF0000"/>
          <w:sz w:val="22"/>
          <w:szCs w:val="21"/>
        </w:rPr>
        <w:t>02562</w:t>
      </w:r>
      <w:r>
        <w:rPr>
          <w:rFonts w:hint="eastAsia" w:asciiTheme="minorEastAsia" w:hAnsiTheme="minorEastAsia" w:eastAsiaTheme="minorEastAsia"/>
          <w:sz w:val="22"/>
          <w:szCs w:val="21"/>
        </w:rPr>
        <w:t>），项目计划总投资</w:t>
      </w:r>
      <w:r>
        <w:rPr>
          <w:rFonts w:asciiTheme="minorEastAsia" w:hAnsiTheme="minorEastAsia" w:eastAsiaTheme="minorEastAsia"/>
          <w:sz w:val="22"/>
          <w:szCs w:val="21"/>
        </w:rPr>
        <w:t>6</w:t>
      </w:r>
      <w:r>
        <w:rPr>
          <w:rFonts w:hint="eastAsia" w:asciiTheme="minorEastAsia" w:hAnsiTheme="minorEastAsia" w:eastAsiaTheme="minorEastAsia"/>
          <w:sz w:val="22"/>
          <w:szCs w:val="21"/>
        </w:rPr>
        <w:t>0亿元，目前已完成投资约3</w:t>
      </w:r>
      <w:r>
        <w:rPr>
          <w:rFonts w:asciiTheme="minorEastAsia" w:hAnsiTheme="minorEastAsia" w:eastAsiaTheme="minorEastAsia"/>
          <w:sz w:val="22"/>
          <w:szCs w:val="21"/>
        </w:rPr>
        <w:t>6</w:t>
      </w:r>
      <w:r>
        <w:rPr>
          <w:rFonts w:hint="eastAsia" w:asciiTheme="minorEastAsia" w:hAnsiTheme="minorEastAsia" w:eastAsiaTheme="minorEastAsia"/>
          <w:sz w:val="22"/>
          <w:szCs w:val="21"/>
        </w:rPr>
        <w:t>余亿元,占地面积2000余亩,主要规划为食品添加剂、饲料添加剂、医药原料药的研发、生产与销售。目前已投产产品包含维生素B3、维生素B5、催化材料 、香料系列及造影剂产品。公司已同步启动二期项目的规划和建设，拟投资建设高标准的专业医药和香料产业园。</w:t>
      </w:r>
    </w:p>
    <w:p w14:paraId="26E4C4FA">
      <w:pPr>
        <w:spacing w:line="600" w:lineRule="auto"/>
        <w:ind w:firstLine="440" w:firstLineChars="200"/>
        <w:rPr>
          <w:rFonts w:asciiTheme="minorEastAsia" w:hAnsiTheme="minorEastAsia" w:eastAsiaTheme="minorEastAsia"/>
          <w:sz w:val="22"/>
          <w:szCs w:val="21"/>
        </w:rPr>
      </w:pPr>
      <w:r>
        <w:rPr>
          <w:rFonts w:hint="eastAsia" w:asciiTheme="minorEastAsia" w:hAnsiTheme="minorEastAsia" w:eastAsiaTheme="minorEastAsia"/>
          <w:sz w:val="22"/>
          <w:szCs w:val="21"/>
        </w:rPr>
        <w:t>公司已获得国家高新技术企业、国家第三批绿色工厂、江西省第―批绿色工厂、江西省企业技术中心、江西省智能制造试点示范企业、江西省智能制造标杆企业、九江市工程技术研究中心、九江市节水型企业等荣誉称号；并于2019年和202</w:t>
      </w:r>
      <w:r>
        <w:rPr>
          <w:rFonts w:asciiTheme="minorEastAsia" w:hAnsiTheme="minorEastAsia" w:eastAsiaTheme="minorEastAsia"/>
          <w:sz w:val="22"/>
          <w:szCs w:val="21"/>
        </w:rPr>
        <w:t>0</w:t>
      </w:r>
      <w:r>
        <w:rPr>
          <w:rFonts w:hint="eastAsia" w:asciiTheme="minorEastAsia" w:hAnsiTheme="minorEastAsia" w:eastAsiaTheme="minorEastAsia"/>
          <w:sz w:val="22"/>
          <w:szCs w:val="21"/>
        </w:rPr>
        <w:t>年分别成功创建院士工作站和博士后创新基地。公司在环保、安全设施专项投入较多、建设有标准的消防保障系统及企业专职应急救援队并建立了健全的安全管理体系，于2020年获得“二级安全标准化”证书。</w:t>
      </w:r>
    </w:p>
    <w:p w14:paraId="37915C9E">
      <w:pPr>
        <w:spacing w:line="600" w:lineRule="auto"/>
        <w:ind w:firstLine="440" w:firstLineChars="200"/>
        <w:rPr>
          <w:rFonts w:asciiTheme="minorEastAsia" w:hAnsiTheme="minorEastAsia" w:eastAsiaTheme="minorEastAsia"/>
          <w:sz w:val="22"/>
          <w:szCs w:val="21"/>
        </w:rPr>
      </w:pPr>
      <w:r>
        <w:rPr>
          <w:rFonts w:hint="eastAsia" w:asciiTheme="minorEastAsia" w:hAnsiTheme="minorEastAsia" w:eastAsiaTheme="minorEastAsia"/>
          <w:sz w:val="22"/>
          <w:szCs w:val="21"/>
        </w:rPr>
        <w:t>未来，兄弟医药将建成为工艺技术领先、安全生产可靠、环保治理标杆、综合成本最优的战略生产基地。</w:t>
      </w:r>
    </w:p>
    <w:p w14:paraId="484732CA">
      <w:pPr>
        <w:spacing w:line="480" w:lineRule="auto"/>
        <w:ind w:firstLine="422" w:firstLineChars="200"/>
        <w:rPr>
          <w:b/>
          <w:szCs w:val="21"/>
        </w:rPr>
      </w:pPr>
      <w:r>
        <w:rPr>
          <w:rFonts w:hint="eastAsia"/>
          <w:b/>
          <w:szCs w:val="21"/>
        </w:rPr>
        <w:t>江西兄弟医药有限公司真挚期待有志青年的加入，让我们一起在这里实现自我、激扬青春！</w:t>
      </w:r>
    </w:p>
    <w:p w14:paraId="63DC789B">
      <w:pPr>
        <w:spacing w:line="480" w:lineRule="auto"/>
        <w:rPr>
          <w:b/>
          <w:sz w:val="24"/>
          <w:szCs w:val="21"/>
        </w:rPr>
      </w:pPr>
      <w:r>
        <w:rPr>
          <w:rFonts w:hint="eastAsia"/>
          <w:b/>
          <w:sz w:val="24"/>
          <w:szCs w:val="21"/>
        </w:rPr>
        <w:t>二、招聘岗位</w:t>
      </w:r>
    </w:p>
    <w:p w14:paraId="06E82571">
      <w:pPr>
        <w:pStyle w:val="13"/>
        <w:numPr>
          <w:ilvl w:val="0"/>
          <w:numId w:val="1"/>
        </w:numPr>
        <w:spacing w:line="480" w:lineRule="auto"/>
        <w:ind w:firstLineChars="0"/>
        <w:rPr>
          <w:rFonts w:asciiTheme="minorEastAsia" w:hAnsiTheme="minorEastAsia" w:eastAsiaTheme="minorEastAsia"/>
          <w:szCs w:val="21"/>
        </w:rPr>
      </w:pPr>
      <w:r>
        <w:rPr>
          <w:rFonts w:hint="eastAsia" w:asciiTheme="minorEastAsia" w:hAnsiTheme="minorEastAsia" w:eastAsiaTheme="minorEastAsia"/>
          <w:szCs w:val="21"/>
        </w:rPr>
        <w:t>招聘人员基本条件:</w:t>
      </w:r>
    </w:p>
    <w:p w14:paraId="4183D28F">
      <w:pPr>
        <w:pStyle w:val="13"/>
        <w:numPr>
          <w:ilvl w:val="0"/>
          <w:numId w:val="1"/>
        </w:numPr>
        <w:spacing w:line="480" w:lineRule="auto"/>
        <w:ind w:firstLineChars="0"/>
        <w:rPr>
          <w:rFonts w:asciiTheme="minorEastAsia" w:hAnsiTheme="minorEastAsia" w:eastAsiaTheme="minorEastAsia"/>
          <w:szCs w:val="21"/>
        </w:rPr>
      </w:pPr>
      <w:r>
        <w:rPr>
          <w:rFonts w:hint="eastAsia" w:asciiTheme="minorEastAsia" w:hAnsiTheme="minorEastAsia" w:eastAsiaTheme="minorEastAsia"/>
          <w:szCs w:val="21"/>
        </w:rPr>
        <w:t>1.大专学历；身心健康，爱好运动，正直诚实，品行良好，无不良记录；</w:t>
      </w:r>
      <w:r>
        <w:rPr>
          <w:rFonts w:hint="eastAsia" w:asciiTheme="minorEastAsia" w:hAnsiTheme="minorEastAsia" w:eastAsiaTheme="minorEastAsia"/>
          <w:szCs w:val="21"/>
        </w:rPr>
        <w:cr/>
      </w:r>
      <w:r>
        <w:rPr>
          <w:rFonts w:hint="eastAsia" w:asciiTheme="minorEastAsia" w:hAnsiTheme="minorEastAsia" w:eastAsiaTheme="minorEastAsia"/>
          <w:szCs w:val="21"/>
        </w:rPr>
        <w:t>2.有强烈的进取心和责任心，具有服务意识和奉献精神，勇于承担工作压力，认同企业文化；</w:t>
      </w:r>
      <w:r>
        <w:rPr>
          <w:rFonts w:hint="eastAsia" w:asciiTheme="minorEastAsia" w:hAnsiTheme="minorEastAsia" w:eastAsiaTheme="minorEastAsia"/>
          <w:szCs w:val="21"/>
        </w:rPr>
        <w:cr/>
      </w:r>
      <w:r>
        <w:rPr>
          <w:rFonts w:hint="eastAsia" w:asciiTheme="minorEastAsia" w:hAnsiTheme="minorEastAsia" w:eastAsiaTheme="minorEastAsia"/>
          <w:szCs w:val="21"/>
        </w:rPr>
        <w:t>3.部分岗位需接受倒班工作。</w:t>
      </w:r>
    </w:p>
    <w:p w14:paraId="75902CCC">
      <w:pPr>
        <w:pStyle w:val="13"/>
        <w:numPr>
          <w:ilvl w:val="0"/>
          <w:numId w:val="1"/>
        </w:numPr>
        <w:spacing w:line="480" w:lineRule="auto"/>
        <w:ind w:firstLineChars="0"/>
        <w:rPr>
          <w:rStyle w:val="9"/>
          <w:bCs w:val="0"/>
          <w:szCs w:val="21"/>
        </w:rPr>
      </w:pPr>
      <w:r>
        <w:rPr>
          <w:rStyle w:val="9"/>
          <w:rFonts w:hint="eastAsia" w:asciiTheme="minorEastAsia" w:hAnsiTheme="minorEastAsia" w:eastAsiaTheme="minorEastAsia"/>
          <w:b w:val="0"/>
          <w:color w:val="000000"/>
          <w:szCs w:val="21"/>
          <w:shd w:val="clear" w:color="auto" w:fill="FFFFFF"/>
        </w:rPr>
        <w:t>招聘职位及条件:</w:t>
      </w:r>
    </w:p>
    <w:tbl>
      <w:tblPr>
        <w:tblStyle w:val="6"/>
        <w:tblW w:w="10479" w:type="dxa"/>
        <w:tblInd w:w="113" w:type="dxa"/>
        <w:tblLayout w:type="autofit"/>
        <w:tblCellMar>
          <w:top w:w="0" w:type="dxa"/>
          <w:left w:w="108" w:type="dxa"/>
          <w:bottom w:w="0" w:type="dxa"/>
          <w:right w:w="108" w:type="dxa"/>
        </w:tblCellMar>
      </w:tblPr>
      <w:tblGrid>
        <w:gridCol w:w="874"/>
        <w:gridCol w:w="2382"/>
        <w:gridCol w:w="938"/>
        <w:gridCol w:w="4552"/>
        <w:gridCol w:w="1733"/>
      </w:tblGrid>
      <w:tr w14:paraId="71B37583">
        <w:tblPrEx>
          <w:tblCellMar>
            <w:top w:w="0" w:type="dxa"/>
            <w:left w:w="108" w:type="dxa"/>
            <w:bottom w:w="0" w:type="dxa"/>
            <w:right w:w="108" w:type="dxa"/>
          </w:tblCellMar>
        </w:tblPrEx>
        <w:trPr>
          <w:trHeight w:val="845" w:hRule="atLeast"/>
        </w:trPr>
        <w:tc>
          <w:tcPr>
            <w:tcW w:w="8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211A8E">
            <w:pPr>
              <w:widowControl/>
              <w:jc w:val="center"/>
              <w:rPr>
                <w:rFonts w:ascii="宋体" w:hAnsi="宋体" w:cs="宋体"/>
                <w:color w:val="000000"/>
                <w:kern w:val="0"/>
                <w:sz w:val="22"/>
                <w:szCs w:val="22"/>
              </w:rPr>
            </w:pPr>
            <w:r>
              <w:rPr>
                <w:rFonts w:hint="eastAsia" w:ascii="宋体" w:hAnsi="宋体" w:cs="宋体"/>
                <w:color w:val="000000"/>
                <w:kern w:val="0"/>
                <w:sz w:val="22"/>
                <w:szCs w:val="22"/>
              </w:rPr>
              <w:t>序号</w:t>
            </w:r>
          </w:p>
        </w:tc>
        <w:tc>
          <w:tcPr>
            <w:tcW w:w="2382" w:type="dxa"/>
            <w:tcBorders>
              <w:top w:val="single" w:color="auto" w:sz="4" w:space="0"/>
              <w:left w:val="nil"/>
              <w:bottom w:val="single" w:color="auto" w:sz="4" w:space="0"/>
              <w:right w:val="single" w:color="auto" w:sz="4" w:space="0"/>
            </w:tcBorders>
            <w:shd w:val="clear" w:color="auto" w:fill="auto"/>
            <w:noWrap/>
            <w:vAlign w:val="center"/>
          </w:tcPr>
          <w:p w14:paraId="1FF47A77">
            <w:pPr>
              <w:widowControl/>
              <w:jc w:val="center"/>
              <w:rPr>
                <w:rFonts w:ascii="宋体" w:hAnsi="宋体" w:cs="宋体"/>
                <w:color w:val="000000"/>
                <w:kern w:val="0"/>
                <w:sz w:val="22"/>
                <w:szCs w:val="22"/>
              </w:rPr>
            </w:pPr>
            <w:r>
              <w:rPr>
                <w:rFonts w:hint="eastAsia" w:ascii="宋体" w:hAnsi="宋体" w:cs="宋体"/>
                <w:color w:val="000000"/>
                <w:kern w:val="0"/>
                <w:sz w:val="22"/>
                <w:szCs w:val="22"/>
              </w:rPr>
              <w:t>需求岗位</w:t>
            </w:r>
          </w:p>
        </w:tc>
        <w:tc>
          <w:tcPr>
            <w:tcW w:w="938" w:type="dxa"/>
            <w:tcBorders>
              <w:top w:val="single" w:color="auto" w:sz="4" w:space="0"/>
              <w:left w:val="nil"/>
              <w:bottom w:val="single" w:color="auto" w:sz="4" w:space="0"/>
              <w:right w:val="single" w:color="auto" w:sz="4" w:space="0"/>
            </w:tcBorders>
            <w:shd w:val="clear" w:color="auto" w:fill="auto"/>
            <w:noWrap/>
            <w:vAlign w:val="center"/>
          </w:tcPr>
          <w:p w14:paraId="286E3859">
            <w:pPr>
              <w:widowControl/>
              <w:jc w:val="center"/>
              <w:rPr>
                <w:rFonts w:ascii="宋体" w:hAnsi="宋体" w:cs="宋体"/>
                <w:color w:val="000000"/>
                <w:kern w:val="0"/>
                <w:sz w:val="22"/>
                <w:szCs w:val="22"/>
              </w:rPr>
            </w:pPr>
            <w:r>
              <w:rPr>
                <w:rFonts w:hint="eastAsia" w:ascii="宋体" w:hAnsi="宋体" w:cs="宋体"/>
                <w:color w:val="000000"/>
                <w:kern w:val="0"/>
                <w:sz w:val="22"/>
                <w:szCs w:val="22"/>
              </w:rPr>
              <w:t>需求人数</w:t>
            </w:r>
          </w:p>
        </w:tc>
        <w:tc>
          <w:tcPr>
            <w:tcW w:w="4552" w:type="dxa"/>
            <w:tcBorders>
              <w:top w:val="single" w:color="auto" w:sz="4" w:space="0"/>
              <w:left w:val="nil"/>
              <w:bottom w:val="single" w:color="auto" w:sz="4" w:space="0"/>
              <w:right w:val="single" w:color="auto" w:sz="4" w:space="0"/>
            </w:tcBorders>
            <w:shd w:val="clear" w:color="auto" w:fill="auto"/>
            <w:noWrap/>
            <w:vAlign w:val="center"/>
          </w:tcPr>
          <w:p w14:paraId="1FE721E0">
            <w:pPr>
              <w:widowControl/>
              <w:jc w:val="center"/>
              <w:rPr>
                <w:rFonts w:ascii="宋体" w:hAnsi="宋体" w:cs="宋体"/>
                <w:color w:val="000000"/>
                <w:kern w:val="0"/>
                <w:sz w:val="22"/>
                <w:szCs w:val="22"/>
              </w:rPr>
            </w:pPr>
            <w:r>
              <w:rPr>
                <w:rFonts w:hint="eastAsia" w:ascii="宋体" w:hAnsi="宋体" w:cs="宋体"/>
                <w:color w:val="000000"/>
                <w:kern w:val="0"/>
                <w:sz w:val="22"/>
                <w:szCs w:val="22"/>
              </w:rPr>
              <w:t>专业要求</w:t>
            </w:r>
          </w:p>
        </w:tc>
        <w:tc>
          <w:tcPr>
            <w:tcW w:w="1733" w:type="dxa"/>
            <w:tcBorders>
              <w:top w:val="single" w:color="auto" w:sz="4" w:space="0"/>
              <w:left w:val="nil"/>
              <w:bottom w:val="single" w:color="auto" w:sz="4" w:space="0"/>
              <w:right w:val="single" w:color="auto" w:sz="4" w:space="0"/>
            </w:tcBorders>
            <w:shd w:val="clear" w:color="auto" w:fill="auto"/>
            <w:noWrap/>
            <w:vAlign w:val="center"/>
          </w:tcPr>
          <w:p w14:paraId="6364FE1F">
            <w:pPr>
              <w:widowControl/>
              <w:jc w:val="center"/>
              <w:rPr>
                <w:rFonts w:ascii="宋体" w:hAnsi="宋体" w:cs="宋体"/>
                <w:color w:val="000000"/>
                <w:kern w:val="0"/>
                <w:sz w:val="22"/>
                <w:szCs w:val="22"/>
              </w:rPr>
            </w:pPr>
            <w:r>
              <w:rPr>
                <w:rFonts w:hint="eastAsia" w:ascii="宋体" w:hAnsi="宋体" w:cs="宋体"/>
                <w:color w:val="000000"/>
                <w:kern w:val="0"/>
                <w:sz w:val="22"/>
                <w:szCs w:val="22"/>
              </w:rPr>
              <w:t>薪资待遇</w:t>
            </w:r>
          </w:p>
        </w:tc>
      </w:tr>
      <w:tr w14:paraId="7FD452A0">
        <w:tblPrEx>
          <w:tblCellMar>
            <w:top w:w="0" w:type="dxa"/>
            <w:left w:w="108" w:type="dxa"/>
            <w:bottom w:w="0" w:type="dxa"/>
            <w:right w:w="108" w:type="dxa"/>
          </w:tblCellMar>
        </w:tblPrEx>
        <w:trPr>
          <w:trHeight w:val="845" w:hRule="atLeast"/>
        </w:trPr>
        <w:tc>
          <w:tcPr>
            <w:tcW w:w="874" w:type="dxa"/>
            <w:tcBorders>
              <w:top w:val="nil"/>
              <w:left w:val="single" w:color="auto" w:sz="4" w:space="0"/>
              <w:bottom w:val="single" w:color="auto" w:sz="4" w:space="0"/>
              <w:right w:val="single" w:color="auto" w:sz="4" w:space="0"/>
            </w:tcBorders>
            <w:shd w:val="clear" w:color="auto" w:fill="auto"/>
            <w:noWrap/>
            <w:vAlign w:val="center"/>
          </w:tcPr>
          <w:p w14:paraId="1CB7C54F">
            <w:pPr>
              <w:widowControl/>
              <w:jc w:val="center"/>
              <w:rPr>
                <w:rFonts w:ascii="宋体" w:hAnsi="宋体" w:cs="宋体"/>
                <w:color w:val="000000"/>
                <w:kern w:val="0"/>
                <w:sz w:val="22"/>
                <w:szCs w:val="22"/>
              </w:rPr>
            </w:pPr>
            <w:r>
              <w:rPr>
                <w:rFonts w:ascii="宋体" w:hAnsi="宋体" w:cs="宋体"/>
                <w:color w:val="000000"/>
                <w:kern w:val="0"/>
                <w:sz w:val="22"/>
                <w:szCs w:val="22"/>
              </w:rPr>
              <w:t>1</w:t>
            </w:r>
          </w:p>
        </w:tc>
        <w:tc>
          <w:tcPr>
            <w:tcW w:w="2382" w:type="dxa"/>
            <w:tcBorders>
              <w:top w:val="nil"/>
              <w:left w:val="nil"/>
              <w:bottom w:val="single" w:color="auto" w:sz="4" w:space="0"/>
              <w:right w:val="single" w:color="auto" w:sz="4" w:space="0"/>
            </w:tcBorders>
            <w:shd w:val="clear" w:color="auto" w:fill="auto"/>
            <w:noWrap/>
            <w:vAlign w:val="center"/>
          </w:tcPr>
          <w:p w14:paraId="209C779B">
            <w:pPr>
              <w:widowControl/>
              <w:jc w:val="center"/>
              <w:rPr>
                <w:rFonts w:ascii="宋体" w:hAnsi="宋体" w:cs="宋体"/>
                <w:color w:val="000000"/>
                <w:kern w:val="0"/>
                <w:sz w:val="22"/>
                <w:szCs w:val="22"/>
              </w:rPr>
            </w:pPr>
            <w:r>
              <w:rPr>
                <w:rFonts w:hint="eastAsia" w:ascii="宋体" w:hAnsi="宋体" w:cs="宋体"/>
                <w:color w:val="000000"/>
                <w:kern w:val="0"/>
                <w:sz w:val="22"/>
                <w:szCs w:val="22"/>
              </w:rPr>
              <w:t>锅炉、脱硫、汽机运行学员</w:t>
            </w:r>
          </w:p>
        </w:tc>
        <w:tc>
          <w:tcPr>
            <w:tcW w:w="938" w:type="dxa"/>
            <w:tcBorders>
              <w:top w:val="nil"/>
              <w:left w:val="nil"/>
              <w:bottom w:val="single" w:color="auto" w:sz="4" w:space="0"/>
              <w:right w:val="single" w:color="auto" w:sz="4" w:space="0"/>
            </w:tcBorders>
            <w:shd w:val="clear" w:color="auto" w:fill="auto"/>
            <w:noWrap/>
            <w:vAlign w:val="center"/>
          </w:tcPr>
          <w:p w14:paraId="4D75127B">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lang w:val="en-US" w:eastAsia="zh-CN"/>
              </w:rPr>
              <w:t>5</w:t>
            </w:r>
          </w:p>
        </w:tc>
        <w:tc>
          <w:tcPr>
            <w:tcW w:w="4552" w:type="dxa"/>
            <w:tcBorders>
              <w:top w:val="nil"/>
              <w:left w:val="nil"/>
              <w:bottom w:val="single" w:color="auto" w:sz="4" w:space="0"/>
              <w:right w:val="single" w:color="auto" w:sz="4" w:space="0"/>
            </w:tcBorders>
            <w:shd w:val="clear" w:color="auto" w:fill="auto"/>
            <w:vAlign w:val="center"/>
          </w:tcPr>
          <w:p w14:paraId="35E99D99">
            <w:pPr>
              <w:widowControl/>
              <w:jc w:val="left"/>
              <w:rPr>
                <w:rFonts w:ascii="宋体" w:hAnsi="宋体" w:cs="宋体"/>
                <w:color w:val="000000"/>
                <w:kern w:val="0"/>
                <w:sz w:val="18"/>
                <w:szCs w:val="18"/>
              </w:rPr>
            </w:pPr>
            <w:r>
              <w:rPr>
                <w:rFonts w:hint="eastAsia" w:ascii="宋体" w:hAnsi="宋体" w:cs="宋体"/>
                <w:color w:val="000000"/>
                <w:kern w:val="0"/>
                <w:sz w:val="18"/>
                <w:szCs w:val="18"/>
              </w:rPr>
              <w:t>能源与动力工程、热能工程、发电厂电气技术、电气自动化技术、热能动力设备与应用、机电设备维修与管理</w:t>
            </w:r>
          </w:p>
        </w:tc>
        <w:tc>
          <w:tcPr>
            <w:tcW w:w="1733" w:type="dxa"/>
            <w:tcBorders>
              <w:top w:val="nil"/>
              <w:left w:val="nil"/>
              <w:bottom w:val="single" w:color="auto" w:sz="4" w:space="0"/>
              <w:right w:val="single" w:color="auto" w:sz="4" w:space="0"/>
            </w:tcBorders>
            <w:shd w:val="clear" w:color="000000" w:fill="FFFFFF"/>
            <w:noWrap/>
            <w:vAlign w:val="center"/>
          </w:tcPr>
          <w:p w14:paraId="0C1ECCAE">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50</w:t>
            </w:r>
            <w:r>
              <w:rPr>
                <w:rFonts w:ascii="宋体" w:hAnsi="宋体" w:cs="宋体"/>
                <w:color w:val="000000"/>
                <w:kern w:val="0"/>
                <w:sz w:val="20"/>
                <w:szCs w:val="20"/>
              </w:rPr>
              <w:t>00</w:t>
            </w:r>
            <w:r>
              <w:rPr>
                <w:rFonts w:hint="eastAsia" w:ascii="宋体" w:hAnsi="宋体" w:cs="宋体"/>
                <w:color w:val="000000"/>
                <w:kern w:val="0"/>
                <w:sz w:val="20"/>
                <w:szCs w:val="20"/>
              </w:rPr>
              <w:t>-5500</w:t>
            </w:r>
          </w:p>
        </w:tc>
      </w:tr>
      <w:tr w14:paraId="73E85F14">
        <w:tblPrEx>
          <w:tblCellMar>
            <w:top w:w="0" w:type="dxa"/>
            <w:left w:w="108" w:type="dxa"/>
            <w:bottom w:w="0" w:type="dxa"/>
            <w:right w:w="108" w:type="dxa"/>
          </w:tblCellMar>
        </w:tblPrEx>
        <w:trPr>
          <w:trHeight w:val="1125" w:hRule="atLeast"/>
        </w:trPr>
        <w:tc>
          <w:tcPr>
            <w:tcW w:w="874" w:type="dxa"/>
            <w:tcBorders>
              <w:top w:val="nil"/>
              <w:left w:val="single" w:color="auto" w:sz="4" w:space="0"/>
              <w:bottom w:val="single" w:color="auto" w:sz="4" w:space="0"/>
              <w:right w:val="single" w:color="auto" w:sz="4" w:space="0"/>
            </w:tcBorders>
            <w:shd w:val="clear" w:color="auto" w:fill="auto"/>
            <w:noWrap/>
            <w:vAlign w:val="center"/>
          </w:tcPr>
          <w:p w14:paraId="6A85C251">
            <w:pPr>
              <w:widowControl/>
              <w:jc w:val="center"/>
              <w:rPr>
                <w:rFonts w:ascii="宋体" w:hAnsi="宋体" w:cs="宋体"/>
                <w:color w:val="000000"/>
                <w:kern w:val="0"/>
                <w:sz w:val="22"/>
                <w:szCs w:val="22"/>
              </w:rPr>
            </w:pPr>
            <w:r>
              <w:rPr>
                <w:rFonts w:ascii="宋体" w:hAnsi="宋体" w:cs="宋体"/>
                <w:color w:val="000000"/>
                <w:kern w:val="0"/>
                <w:sz w:val="22"/>
                <w:szCs w:val="22"/>
              </w:rPr>
              <w:t>2</w:t>
            </w:r>
          </w:p>
        </w:tc>
        <w:tc>
          <w:tcPr>
            <w:tcW w:w="2382" w:type="dxa"/>
            <w:tcBorders>
              <w:top w:val="nil"/>
              <w:left w:val="nil"/>
              <w:bottom w:val="single" w:color="auto" w:sz="4" w:space="0"/>
              <w:right w:val="single" w:color="auto" w:sz="4" w:space="0"/>
            </w:tcBorders>
            <w:shd w:val="clear" w:color="auto" w:fill="auto"/>
            <w:vAlign w:val="center"/>
          </w:tcPr>
          <w:p w14:paraId="46E25C0A">
            <w:pPr>
              <w:widowControl/>
              <w:jc w:val="center"/>
              <w:rPr>
                <w:rFonts w:ascii="宋体" w:hAnsi="宋体" w:cs="宋体"/>
                <w:color w:val="000000"/>
                <w:kern w:val="0"/>
                <w:sz w:val="22"/>
                <w:szCs w:val="22"/>
              </w:rPr>
            </w:pPr>
            <w:r>
              <w:rPr>
                <w:rFonts w:hint="eastAsia" w:ascii="宋体" w:hAnsi="宋体" w:cs="宋体"/>
                <w:color w:val="000000"/>
                <w:kern w:val="0"/>
                <w:sz w:val="22"/>
                <w:szCs w:val="22"/>
              </w:rPr>
              <w:t>机修、电气、仪表维修学员</w:t>
            </w:r>
          </w:p>
        </w:tc>
        <w:tc>
          <w:tcPr>
            <w:tcW w:w="938" w:type="dxa"/>
            <w:tcBorders>
              <w:top w:val="nil"/>
              <w:left w:val="nil"/>
              <w:bottom w:val="single" w:color="auto" w:sz="4" w:space="0"/>
              <w:right w:val="single" w:color="auto" w:sz="4" w:space="0"/>
            </w:tcBorders>
            <w:shd w:val="clear" w:color="auto" w:fill="auto"/>
            <w:noWrap/>
            <w:vAlign w:val="center"/>
          </w:tcPr>
          <w:p w14:paraId="7722CE8C">
            <w:pPr>
              <w:widowControl/>
              <w:jc w:val="center"/>
              <w:rPr>
                <w:rFonts w:hint="eastAsia" w:ascii="宋体" w:hAnsi="宋体" w:eastAsia="宋体" w:cs="宋体"/>
                <w:color w:val="000000"/>
                <w:kern w:val="0"/>
                <w:sz w:val="22"/>
                <w:szCs w:val="22"/>
                <w:lang w:eastAsia="zh-CN"/>
              </w:rPr>
            </w:pPr>
            <w:r>
              <w:rPr>
                <w:rFonts w:hint="eastAsia" w:ascii="宋体" w:hAnsi="宋体" w:cs="宋体"/>
                <w:color w:val="000000"/>
                <w:kern w:val="0"/>
                <w:sz w:val="22"/>
                <w:szCs w:val="22"/>
                <w:lang w:val="en-US" w:eastAsia="zh-CN"/>
              </w:rPr>
              <w:t>2</w:t>
            </w:r>
          </w:p>
        </w:tc>
        <w:tc>
          <w:tcPr>
            <w:tcW w:w="4552" w:type="dxa"/>
            <w:tcBorders>
              <w:top w:val="nil"/>
              <w:left w:val="nil"/>
              <w:bottom w:val="single" w:color="auto" w:sz="4" w:space="0"/>
              <w:right w:val="single" w:color="auto" w:sz="4" w:space="0"/>
            </w:tcBorders>
            <w:shd w:val="clear" w:color="auto" w:fill="auto"/>
            <w:vAlign w:val="center"/>
          </w:tcPr>
          <w:p w14:paraId="13F9134C">
            <w:pPr>
              <w:widowControl/>
              <w:jc w:val="left"/>
              <w:rPr>
                <w:rFonts w:ascii="宋体" w:hAnsi="宋体" w:cs="宋体"/>
                <w:color w:val="000000"/>
                <w:kern w:val="0"/>
                <w:sz w:val="18"/>
                <w:szCs w:val="18"/>
              </w:rPr>
            </w:pPr>
            <w:r>
              <w:rPr>
                <w:rFonts w:hint="eastAsia" w:ascii="宋体" w:hAnsi="宋体" w:cs="宋体"/>
                <w:color w:val="000000"/>
                <w:kern w:val="0"/>
                <w:sz w:val="18"/>
                <w:szCs w:val="18"/>
              </w:rPr>
              <w:t>能源与动力工程、热能工程、发电厂电气技术、电气自动化技术、热能动力设备与应用、机电设备维修与管理</w:t>
            </w:r>
          </w:p>
        </w:tc>
        <w:tc>
          <w:tcPr>
            <w:tcW w:w="1733" w:type="dxa"/>
            <w:tcBorders>
              <w:top w:val="nil"/>
              <w:left w:val="nil"/>
              <w:bottom w:val="single" w:color="auto" w:sz="4" w:space="0"/>
              <w:right w:val="single" w:color="auto" w:sz="4" w:space="0"/>
            </w:tcBorders>
            <w:shd w:val="clear" w:color="000000" w:fill="FFFFFF"/>
            <w:noWrap/>
            <w:vAlign w:val="center"/>
          </w:tcPr>
          <w:p w14:paraId="01AAB4F2">
            <w:pPr>
              <w:widowControl/>
              <w:jc w:val="center"/>
              <w:rPr>
                <w:rFonts w:ascii="宋体" w:hAnsi="宋体" w:cs="宋体"/>
                <w:color w:val="000000"/>
                <w:kern w:val="0"/>
                <w:sz w:val="20"/>
                <w:szCs w:val="20"/>
              </w:rPr>
            </w:pPr>
            <w:r>
              <w:rPr>
                <w:rFonts w:ascii="宋体" w:hAnsi="宋体" w:cs="宋体"/>
                <w:color w:val="000000"/>
                <w:kern w:val="0"/>
                <w:sz w:val="20"/>
                <w:szCs w:val="20"/>
              </w:rPr>
              <w:t>50</w:t>
            </w:r>
            <w:r>
              <w:rPr>
                <w:rFonts w:hint="eastAsia" w:ascii="宋体" w:hAnsi="宋体" w:cs="宋体"/>
                <w:color w:val="000000"/>
                <w:kern w:val="0"/>
                <w:sz w:val="20"/>
                <w:szCs w:val="20"/>
              </w:rPr>
              <w:t>00-5500</w:t>
            </w:r>
          </w:p>
        </w:tc>
      </w:tr>
    </w:tbl>
    <w:p w14:paraId="029984BE">
      <w:pPr>
        <w:spacing w:line="480" w:lineRule="auto"/>
        <w:rPr>
          <w:b/>
          <w:sz w:val="24"/>
        </w:rPr>
      </w:pPr>
      <w:r>
        <w:rPr>
          <w:rFonts w:hint="eastAsia"/>
          <w:b/>
          <w:sz w:val="24"/>
        </w:rPr>
        <w:t>三、福利待遇等相关事宜</w:t>
      </w:r>
    </w:p>
    <w:p w14:paraId="1BE6FF8A">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1、保险：按国家标准享有养老、失业、工伤、生育、医疗共五项社会保险，提供住房公积金</w:t>
      </w:r>
    </w:p>
    <w:p w14:paraId="74C6377D">
      <w:pPr>
        <w:spacing w:line="360" w:lineRule="auto"/>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、培训：公司为员工提供完善的培训计划，包括基础管理培训以及技能开发、技术等相关培训</w:t>
      </w:r>
    </w:p>
    <w:p w14:paraId="058D1599">
      <w:pPr>
        <w:spacing w:line="360" w:lineRule="auto"/>
        <w:rPr>
          <w:rFonts w:asciiTheme="minorEastAsia" w:hAnsiTheme="minorEastAsia" w:eastAsiaTheme="minorEastAsia"/>
          <w:szCs w:val="21"/>
        </w:rPr>
      </w:pPr>
      <w:r>
        <w:rPr>
          <w:rFonts w:asciiTheme="minorEastAsia" w:hAnsiTheme="minorEastAsia" w:eastAsiaTheme="minorEastAsia"/>
          <w:szCs w:val="21"/>
        </w:rPr>
        <w:t>3</w:t>
      </w:r>
      <w:r>
        <w:rPr>
          <w:rFonts w:hint="eastAsia" w:asciiTheme="minorEastAsia" w:hAnsiTheme="minorEastAsia" w:eastAsiaTheme="minorEastAsia"/>
          <w:szCs w:val="21"/>
        </w:rPr>
        <w:t>、就餐：公司设有员工食堂，并提供餐费补贴</w:t>
      </w:r>
    </w:p>
    <w:p w14:paraId="38989C57">
      <w:pPr>
        <w:spacing w:line="360" w:lineRule="auto"/>
        <w:rPr>
          <w:rFonts w:asciiTheme="minorEastAsia" w:hAnsiTheme="minorEastAsia" w:eastAsiaTheme="minorEastAsia"/>
          <w:szCs w:val="21"/>
        </w:rPr>
      </w:pPr>
      <w:r>
        <w:rPr>
          <w:rFonts w:asciiTheme="minorEastAsia" w:hAnsiTheme="minorEastAsia" w:eastAsiaTheme="minorEastAsia"/>
          <w:szCs w:val="21"/>
        </w:rPr>
        <w:t>4</w:t>
      </w:r>
      <w:r>
        <w:rPr>
          <w:rFonts w:hint="eastAsia" w:asciiTheme="minorEastAsia" w:hAnsiTheme="minorEastAsia" w:eastAsiaTheme="minorEastAsia"/>
          <w:szCs w:val="21"/>
        </w:rPr>
        <w:t>、住宿：公司提供两人宿舍，入职满1年后单人间，配置空调、热水器、独立卫生间及桌椅等配套设施</w:t>
      </w:r>
    </w:p>
    <w:p w14:paraId="00D4D24C">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5、服装：公司为员工免费提供工作服、劳保用品</w:t>
      </w:r>
    </w:p>
    <w:p w14:paraId="088A1ADD">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6、体检：公司每年组织员工参加免费健康检查</w:t>
      </w:r>
    </w:p>
    <w:p w14:paraId="5718769B">
      <w:pPr>
        <w:spacing w:line="360" w:lineRule="auto"/>
        <w:rPr>
          <w:rFonts w:asciiTheme="minorEastAsia" w:hAnsiTheme="minorEastAsia" w:eastAsiaTheme="minorEastAsia"/>
          <w:szCs w:val="21"/>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、毕业工作满第一年、第二年薪资增幅8%-12%</w:t>
      </w:r>
    </w:p>
    <w:p w14:paraId="2CB33C5E">
      <w:pPr>
        <w:spacing w:line="360" w:lineRule="auto"/>
        <w:rPr>
          <w:rFonts w:asciiTheme="minorEastAsia" w:hAnsiTheme="minorEastAsia" w:eastAsiaTheme="minorEastAsia"/>
          <w:szCs w:val="21"/>
        </w:rPr>
      </w:pPr>
      <w:r>
        <w:rPr>
          <w:rFonts w:hint="eastAsia" w:asciiTheme="minorEastAsia" w:hAnsiTheme="minorEastAsia" w:eastAsiaTheme="minorEastAsia"/>
          <w:szCs w:val="21"/>
          <w:lang w:val="en-US" w:eastAsia="zh-CN"/>
        </w:rPr>
        <w:t>8</w:t>
      </w:r>
      <w:r>
        <w:rPr>
          <w:rFonts w:hint="eastAsia" w:asciiTheme="minorEastAsia" w:hAnsiTheme="minorEastAsia" w:eastAsiaTheme="minorEastAsia"/>
          <w:szCs w:val="21"/>
        </w:rPr>
        <w:t>、生活环境：提供完善的生活区物业管理，配备员工活动中心：阅览室、室内羽毛球场、室内篮球馆、室内乒乓球室、生活超市等。</w:t>
      </w:r>
    </w:p>
    <w:p w14:paraId="4C91701A">
      <w:pPr>
        <w:pStyle w:val="13"/>
        <w:spacing w:line="360" w:lineRule="auto"/>
        <w:ind w:firstLine="0" w:firstLineChars="0"/>
        <w:rPr>
          <w:b/>
          <w:sz w:val="24"/>
        </w:rPr>
      </w:pPr>
      <w:r>
        <w:rPr>
          <w:rFonts w:hint="eastAsia"/>
          <w:b/>
          <w:sz w:val="24"/>
        </w:rPr>
        <w:t>四、联系方式：</w:t>
      </w:r>
    </w:p>
    <w:p w14:paraId="3DB3943E">
      <w:pPr>
        <w:widowControl/>
        <w:spacing w:line="480" w:lineRule="auto"/>
        <w:rPr>
          <w:rFonts w:ascii="宋体" w:hAnsi="宋体" w:cs="宋体"/>
          <w:b/>
          <w:color w:val="000000"/>
          <w:kern w:val="0"/>
          <w:szCs w:val="21"/>
        </w:rPr>
      </w:pPr>
      <w:bookmarkStart w:id="0" w:name="_GoBack"/>
      <w:bookmarkEnd w:id="0"/>
      <w:r>
        <w:rPr>
          <w:rFonts w:hint="eastAsia" w:ascii="宋体" w:hAnsi="宋体" w:cs="宋体"/>
          <w:b/>
          <w:color w:val="000000"/>
          <w:kern w:val="0"/>
          <w:szCs w:val="21"/>
        </w:rPr>
        <w:t>公司邮箱：</w:t>
      </w:r>
      <w:r>
        <w:fldChar w:fldCharType="begin"/>
      </w:r>
      <w:r>
        <w:instrText xml:space="preserve"> HYPERLINK "mailto:xyhr@brother.com.cn" </w:instrText>
      </w:r>
      <w:r>
        <w:fldChar w:fldCharType="separate"/>
      </w:r>
      <w:r>
        <w:rPr>
          <w:rStyle w:val="10"/>
          <w:rFonts w:hint="eastAsia" w:ascii="宋体" w:hAnsi="宋体" w:cs="宋体"/>
          <w:b/>
          <w:kern w:val="0"/>
          <w:szCs w:val="21"/>
        </w:rPr>
        <w:t>xyhr@brother.com.cn</w:t>
      </w:r>
      <w:r>
        <w:rPr>
          <w:rStyle w:val="10"/>
          <w:rFonts w:hint="eastAsia" w:ascii="宋体" w:hAnsi="宋体" w:cs="宋体"/>
          <w:b/>
          <w:kern w:val="0"/>
          <w:szCs w:val="21"/>
        </w:rPr>
        <w:fldChar w:fldCharType="end"/>
      </w:r>
      <w:r>
        <w:rPr>
          <w:rFonts w:hint="eastAsia" w:ascii="宋体" w:hAnsi="宋体" w:cs="宋体"/>
          <w:b/>
          <w:color w:val="000000"/>
          <w:kern w:val="0"/>
          <w:szCs w:val="21"/>
        </w:rPr>
        <w:t xml:space="preserve"> </w:t>
      </w:r>
      <w:r>
        <w:rPr>
          <w:rFonts w:ascii="宋体" w:hAnsi="宋体" w:cs="宋体"/>
          <w:b/>
          <w:color w:val="000000"/>
          <w:kern w:val="0"/>
          <w:szCs w:val="21"/>
        </w:rPr>
        <w:t xml:space="preserve">          </w:t>
      </w:r>
      <w:r>
        <w:rPr>
          <w:rFonts w:hint="eastAsia" w:ascii="宋体" w:hAnsi="宋体" w:cs="宋体"/>
          <w:b/>
          <w:color w:val="000000"/>
          <w:kern w:val="0"/>
          <w:szCs w:val="21"/>
        </w:rPr>
        <w:t>公司网址：</w:t>
      </w:r>
      <w:r>
        <w:fldChar w:fldCharType="begin"/>
      </w:r>
      <w:r>
        <w:instrText xml:space="preserve"> HYPERLINK "http://www.brother.com.cn" </w:instrText>
      </w:r>
      <w:r>
        <w:fldChar w:fldCharType="separate"/>
      </w:r>
      <w:r>
        <w:rPr>
          <w:rStyle w:val="10"/>
          <w:rFonts w:hint="eastAsia" w:ascii="宋体" w:hAnsi="宋体" w:cs="宋体"/>
          <w:b/>
          <w:kern w:val="0"/>
          <w:szCs w:val="21"/>
        </w:rPr>
        <w:t>http://www.brother.com.cn</w:t>
      </w:r>
      <w:r>
        <w:rPr>
          <w:rStyle w:val="10"/>
          <w:rFonts w:hint="eastAsia" w:ascii="宋体" w:hAnsi="宋体" w:cs="宋体"/>
          <w:b/>
          <w:kern w:val="0"/>
          <w:szCs w:val="21"/>
        </w:rPr>
        <w:fldChar w:fldCharType="end"/>
      </w:r>
    </w:p>
    <w:p w14:paraId="6973AD23">
      <w:pPr>
        <w:widowControl/>
        <w:spacing w:line="480" w:lineRule="auto"/>
        <w:rPr>
          <w:rFonts w:ascii="宋体" w:hAnsi="宋体"/>
          <w:b/>
          <w:szCs w:val="21"/>
        </w:rPr>
      </w:pPr>
      <w:r>
        <w:rPr>
          <w:rFonts w:hint="eastAsia" w:ascii="宋体" w:hAnsi="宋体" w:cs="宋体"/>
          <w:b/>
          <w:color w:val="000000"/>
          <w:kern w:val="0"/>
          <w:szCs w:val="21"/>
        </w:rPr>
        <w:t>公司地址：江西省九江市彭泽县矶山生态工业园1号</w:t>
      </w:r>
    </w:p>
    <w:p w14:paraId="76991A99">
      <w:pPr>
        <w:widowControl/>
        <w:spacing w:line="360" w:lineRule="auto"/>
        <w:rPr>
          <w:rFonts w:ascii="宋体" w:hAnsi="宋体"/>
          <w:b/>
          <w:szCs w:val="21"/>
        </w:rPr>
      </w:pPr>
    </w:p>
    <w:sectPr>
      <w:headerReference r:id="rId3" w:type="default"/>
      <w:pgSz w:w="11907" w:h="16840"/>
      <w:pgMar w:top="567" w:right="1134" w:bottom="567" w:left="1134" w:header="567"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64C36">
    <w:pPr>
      <w:jc w:val="left"/>
      <w:rPr>
        <w:rFonts w:ascii="宋体" w:hAnsi="宋体"/>
        <w:bCs/>
        <w:kern w:val="44"/>
        <w:sz w:val="36"/>
        <w:szCs w:val="30"/>
      </w:rPr>
    </w:pPr>
    <w:r>
      <w:drawing>
        <wp:inline distT="0" distB="0" distL="0" distR="0">
          <wp:extent cx="751840" cy="172085"/>
          <wp:effectExtent l="0" t="0" r="0" b="0"/>
          <wp:docPr id="2" name="图片 2" descr="D:\招聘\3 校园招聘\最新公司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招聘\3 校园招聘\最新公司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06540" cy="185115"/>
                  </a:xfrm>
                  <a:prstGeom prst="rect">
                    <a:avLst/>
                  </a:prstGeom>
                  <a:noFill/>
                  <a:ln>
                    <a:noFill/>
                  </a:ln>
                </pic:spPr>
              </pic:pic>
            </a:graphicData>
          </a:graphic>
        </wp:inline>
      </w:drawing>
    </w:r>
    <w:r>
      <w:rPr>
        <w:rFonts w:hint="eastAsia"/>
      </w:rPr>
      <w:t xml:space="preserve">             </w:t>
    </w:r>
    <w:r>
      <w:rPr>
        <w:rFonts w:hint="eastAsia"/>
        <w:sz w:val="28"/>
        <w:szCs w:val="28"/>
      </w:rPr>
      <w:t xml:space="preserve">     </w:t>
    </w:r>
    <w:r>
      <w:rPr>
        <w:sz w:val="28"/>
        <w:szCs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626642"/>
    <w:multiLevelType w:val="multilevel"/>
    <w:tmpl w:val="5162664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mFiYmRkZmI1YmM1OTMwMDEwZmJhYjlhMWM4MTc5YjcifQ=="/>
  </w:docVars>
  <w:rsids>
    <w:rsidRoot w:val="009E0111"/>
    <w:rsid w:val="000000B0"/>
    <w:rsid w:val="000060A3"/>
    <w:rsid w:val="00007D9A"/>
    <w:rsid w:val="00011501"/>
    <w:rsid w:val="00017FDA"/>
    <w:rsid w:val="00034463"/>
    <w:rsid w:val="00043BF8"/>
    <w:rsid w:val="00045A1B"/>
    <w:rsid w:val="00054302"/>
    <w:rsid w:val="00063883"/>
    <w:rsid w:val="00070341"/>
    <w:rsid w:val="00086CBC"/>
    <w:rsid w:val="000938D1"/>
    <w:rsid w:val="000B170F"/>
    <w:rsid w:val="000C4142"/>
    <w:rsid w:val="000D66B5"/>
    <w:rsid w:val="000E552F"/>
    <w:rsid w:val="000E5A5A"/>
    <w:rsid w:val="00103092"/>
    <w:rsid w:val="00104C81"/>
    <w:rsid w:val="00117166"/>
    <w:rsid w:val="00125DBF"/>
    <w:rsid w:val="00126899"/>
    <w:rsid w:val="00143605"/>
    <w:rsid w:val="00150272"/>
    <w:rsid w:val="0015216C"/>
    <w:rsid w:val="001567C1"/>
    <w:rsid w:val="00160E40"/>
    <w:rsid w:val="00166480"/>
    <w:rsid w:val="0019153C"/>
    <w:rsid w:val="0019325C"/>
    <w:rsid w:val="001B0773"/>
    <w:rsid w:val="001B0AAE"/>
    <w:rsid w:val="001B18BC"/>
    <w:rsid w:val="001C37D2"/>
    <w:rsid w:val="001C4E5E"/>
    <w:rsid w:val="001C6476"/>
    <w:rsid w:val="001C665A"/>
    <w:rsid w:val="001E647F"/>
    <w:rsid w:val="002023B8"/>
    <w:rsid w:val="00203EC0"/>
    <w:rsid w:val="00207206"/>
    <w:rsid w:val="0022208E"/>
    <w:rsid w:val="00232285"/>
    <w:rsid w:val="00243F7E"/>
    <w:rsid w:val="002462F0"/>
    <w:rsid w:val="002479C2"/>
    <w:rsid w:val="0026491D"/>
    <w:rsid w:val="00270AB6"/>
    <w:rsid w:val="002762A4"/>
    <w:rsid w:val="00287634"/>
    <w:rsid w:val="002938AE"/>
    <w:rsid w:val="00295EA3"/>
    <w:rsid w:val="002A7F11"/>
    <w:rsid w:val="002D2036"/>
    <w:rsid w:val="002D2B02"/>
    <w:rsid w:val="002E01EE"/>
    <w:rsid w:val="002E5A41"/>
    <w:rsid w:val="002F5E2D"/>
    <w:rsid w:val="00305553"/>
    <w:rsid w:val="00305881"/>
    <w:rsid w:val="00313F1A"/>
    <w:rsid w:val="00332086"/>
    <w:rsid w:val="0034405D"/>
    <w:rsid w:val="00361A1E"/>
    <w:rsid w:val="003620A3"/>
    <w:rsid w:val="00364BB8"/>
    <w:rsid w:val="0036568B"/>
    <w:rsid w:val="00386FBE"/>
    <w:rsid w:val="00395194"/>
    <w:rsid w:val="003A40AC"/>
    <w:rsid w:val="003B6376"/>
    <w:rsid w:val="003C044A"/>
    <w:rsid w:val="003C42A5"/>
    <w:rsid w:val="003C68AF"/>
    <w:rsid w:val="003D584A"/>
    <w:rsid w:val="003E7FCB"/>
    <w:rsid w:val="003F3FDE"/>
    <w:rsid w:val="004105B9"/>
    <w:rsid w:val="00421C42"/>
    <w:rsid w:val="0043006A"/>
    <w:rsid w:val="00441F44"/>
    <w:rsid w:val="00456B79"/>
    <w:rsid w:val="00460F33"/>
    <w:rsid w:val="00474E54"/>
    <w:rsid w:val="0048101C"/>
    <w:rsid w:val="004A6D0F"/>
    <w:rsid w:val="004B185D"/>
    <w:rsid w:val="004C01BC"/>
    <w:rsid w:val="004E5522"/>
    <w:rsid w:val="004E5B87"/>
    <w:rsid w:val="004F3BE6"/>
    <w:rsid w:val="0050668F"/>
    <w:rsid w:val="00550FCB"/>
    <w:rsid w:val="00551A66"/>
    <w:rsid w:val="00556C5A"/>
    <w:rsid w:val="005652D5"/>
    <w:rsid w:val="005732D7"/>
    <w:rsid w:val="005828C7"/>
    <w:rsid w:val="00585FCF"/>
    <w:rsid w:val="00592D56"/>
    <w:rsid w:val="00594519"/>
    <w:rsid w:val="005A3151"/>
    <w:rsid w:val="005A39DF"/>
    <w:rsid w:val="005B00C1"/>
    <w:rsid w:val="005B1CCD"/>
    <w:rsid w:val="005B7D4B"/>
    <w:rsid w:val="005D1FCC"/>
    <w:rsid w:val="005D6C47"/>
    <w:rsid w:val="005E012D"/>
    <w:rsid w:val="005F290C"/>
    <w:rsid w:val="005F2E8C"/>
    <w:rsid w:val="00603665"/>
    <w:rsid w:val="00604516"/>
    <w:rsid w:val="0061793F"/>
    <w:rsid w:val="00621984"/>
    <w:rsid w:val="0062328E"/>
    <w:rsid w:val="006342BC"/>
    <w:rsid w:val="00644B54"/>
    <w:rsid w:val="00645982"/>
    <w:rsid w:val="00647448"/>
    <w:rsid w:val="00650E9A"/>
    <w:rsid w:val="00665E22"/>
    <w:rsid w:val="006706F9"/>
    <w:rsid w:val="006727F5"/>
    <w:rsid w:val="006741B1"/>
    <w:rsid w:val="00682974"/>
    <w:rsid w:val="006920CD"/>
    <w:rsid w:val="006B0D7C"/>
    <w:rsid w:val="006B26C5"/>
    <w:rsid w:val="006D0A72"/>
    <w:rsid w:val="006D1023"/>
    <w:rsid w:val="006D103E"/>
    <w:rsid w:val="006D128C"/>
    <w:rsid w:val="006D1FA3"/>
    <w:rsid w:val="006D6B13"/>
    <w:rsid w:val="006E4C59"/>
    <w:rsid w:val="006E5D34"/>
    <w:rsid w:val="006F1F79"/>
    <w:rsid w:val="006F57C4"/>
    <w:rsid w:val="00702D6F"/>
    <w:rsid w:val="00713892"/>
    <w:rsid w:val="00733AE7"/>
    <w:rsid w:val="00761005"/>
    <w:rsid w:val="00771E9B"/>
    <w:rsid w:val="00772916"/>
    <w:rsid w:val="00774F94"/>
    <w:rsid w:val="007834FA"/>
    <w:rsid w:val="007953A6"/>
    <w:rsid w:val="007A35B8"/>
    <w:rsid w:val="007A3629"/>
    <w:rsid w:val="007A6DE6"/>
    <w:rsid w:val="007D2053"/>
    <w:rsid w:val="007E57B2"/>
    <w:rsid w:val="007E6F20"/>
    <w:rsid w:val="007F4994"/>
    <w:rsid w:val="007F73CB"/>
    <w:rsid w:val="007F7A58"/>
    <w:rsid w:val="00811403"/>
    <w:rsid w:val="008206B9"/>
    <w:rsid w:val="00840480"/>
    <w:rsid w:val="00845991"/>
    <w:rsid w:val="00847F97"/>
    <w:rsid w:val="00857BFB"/>
    <w:rsid w:val="00857F57"/>
    <w:rsid w:val="00865296"/>
    <w:rsid w:val="008656DE"/>
    <w:rsid w:val="00876077"/>
    <w:rsid w:val="008822D1"/>
    <w:rsid w:val="00886BE2"/>
    <w:rsid w:val="00887E76"/>
    <w:rsid w:val="008908B5"/>
    <w:rsid w:val="00893442"/>
    <w:rsid w:val="008B41EA"/>
    <w:rsid w:val="008D2696"/>
    <w:rsid w:val="00901215"/>
    <w:rsid w:val="0090291F"/>
    <w:rsid w:val="009129D4"/>
    <w:rsid w:val="00933715"/>
    <w:rsid w:val="009436B2"/>
    <w:rsid w:val="00943C2C"/>
    <w:rsid w:val="00954B5D"/>
    <w:rsid w:val="0095627B"/>
    <w:rsid w:val="00956B22"/>
    <w:rsid w:val="00977EDC"/>
    <w:rsid w:val="00992912"/>
    <w:rsid w:val="00997BC9"/>
    <w:rsid w:val="009A4122"/>
    <w:rsid w:val="009A5B43"/>
    <w:rsid w:val="009A7638"/>
    <w:rsid w:val="009B1CD6"/>
    <w:rsid w:val="009B2E39"/>
    <w:rsid w:val="009B339E"/>
    <w:rsid w:val="009B7F72"/>
    <w:rsid w:val="009C655F"/>
    <w:rsid w:val="009D66F7"/>
    <w:rsid w:val="009E0111"/>
    <w:rsid w:val="009E1E7A"/>
    <w:rsid w:val="009E6F35"/>
    <w:rsid w:val="009E7D20"/>
    <w:rsid w:val="009F468E"/>
    <w:rsid w:val="009F6567"/>
    <w:rsid w:val="00A02F35"/>
    <w:rsid w:val="00A234E8"/>
    <w:rsid w:val="00A379D2"/>
    <w:rsid w:val="00A42346"/>
    <w:rsid w:val="00A465E6"/>
    <w:rsid w:val="00A8533B"/>
    <w:rsid w:val="00A9656D"/>
    <w:rsid w:val="00AA6041"/>
    <w:rsid w:val="00AB12B8"/>
    <w:rsid w:val="00AC7A25"/>
    <w:rsid w:val="00AD4D28"/>
    <w:rsid w:val="00AF21F7"/>
    <w:rsid w:val="00AF4F2E"/>
    <w:rsid w:val="00B11C43"/>
    <w:rsid w:val="00B12300"/>
    <w:rsid w:val="00B204FF"/>
    <w:rsid w:val="00B21016"/>
    <w:rsid w:val="00B22D1F"/>
    <w:rsid w:val="00B23C2D"/>
    <w:rsid w:val="00B264A1"/>
    <w:rsid w:val="00B31592"/>
    <w:rsid w:val="00B36DBD"/>
    <w:rsid w:val="00B43E12"/>
    <w:rsid w:val="00B44527"/>
    <w:rsid w:val="00B534FF"/>
    <w:rsid w:val="00B676EA"/>
    <w:rsid w:val="00B71C8C"/>
    <w:rsid w:val="00B744C3"/>
    <w:rsid w:val="00B75020"/>
    <w:rsid w:val="00B85F81"/>
    <w:rsid w:val="00B86C25"/>
    <w:rsid w:val="00B956B0"/>
    <w:rsid w:val="00B9796F"/>
    <w:rsid w:val="00BC4CD6"/>
    <w:rsid w:val="00BD0C18"/>
    <w:rsid w:val="00BF4C1C"/>
    <w:rsid w:val="00BF7AB9"/>
    <w:rsid w:val="00C00B7E"/>
    <w:rsid w:val="00C1412B"/>
    <w:rsid w:val="00C16313"/>
    <w:rsid w:val="00C228A4"/>
    <w:rsid w:val="00C23D01"/>
    <w:rsid w:val="00C35D5D"/>
    <w:rsid w:val="00C40E39"/>
    <w:rsid w:val="00C43C39"/>
    <w:rsid w:val="00C667DD"/>
    <w:rsid w:val="00C67B64"/>
    <w:rsid w:val="00C858B7"/>
    <w:rsid w:val="00C90DE1"/>
    <w:rsid w:val="00C923B1"/>
    <w:rsid w:val="00C96E2F"/>
    <w:rsid w:val="00CA4E8F"/>
    <w:rsid w:val="00CA6FE4"/>
    <w:rsid w:val="00CA7597"/>
    <w:rsid w:val="00CC479A"/>
    <w:rsid w:val="00CF1951"/>
    <w:rsid w:val="00CF5F96"/>
    <w:rsid w:val="00D03A16"/>
    <w:rsid w:val="00D05F15"/>
    <w:rsid w:val="00D07953"/>
    <w:rsid w:val="00D112C7"/>
    <w:rsid w:val="00D13964"/>
    <w:rsid w:val="00D14058"/>
    <w:rsid w:val="00D17F63"/>
    <w:rsid w:val="00D22B41"/>
    <w:rsid w:val="00D33356"/>
    <w:rsid w:val="00D45977"/>
    <w:rsid w:val="00D471E4"/>
    <w:rsid w:val="00D7458B"/>
    <w:rsid w:val="00D82665"/>
    <w:rsid w:val="00D844DA"/>
    <w:rsid w:val="00D86E8E"/>
    <w:rsid w:val="00DA2306"/>
    <w:rsid w:val="00DA2DE2"/>
    <w:rsid w:val="00DB0F1E"/>
    <w:rsid w:val="00DB5F13"/>
    <w:rsid w:val="00DD11B4"/>
    <w:rsid w:val="00DD1720"/>
    <w:rsid w:val="00DD1A98"/>
    <w:rsid w:val="00DD4EEC"/>
    <w:rsid w:val="00DD7564"/>
    <w:rsid w:val="00DF6E01"/>
    <w:rsid w:val="00E131CF"/>
    <w:rsid w:val="00E1472B"/>
    <w:rsid w:val="00E2008D"/>
    <w:rsid w:val="00E249B1"/>
    <w:rsid w:val="00E504D3"/>
    <w:rsid w:val="00E7307E"/>
    <w:rsid w:val="00E806AB"/>
    <w:rsid w:val="00E810C0"/>
    <w:rsid w:val="00E832D4"/>
    <w:rsid w:val="00E9463D"/>
    <w:rsid w:val="00EA0715"/>
    <w:rsid w:val="00EA3FFA"/>
    <w:rsid w:val="00EB0858"/>
    <w:rsid w:val="00EB2F70"/>
    <w:rsid w:val="00EC3F8B"/>
    <w:rsid w:val="00EC54C9"/>
    <w:rsid w:val="00EC585A"/>
    <w:rsid w:val="00EF33CE"/>
    <w:rsid w:val="00F2444B"/>
    <w:rsid w:val="00F26F1B"/>
    <w:rsid w:val="00F479C7"/>
    <w:rsid w:val="00F602C1"/>
    <w:rsid w:val="00F75F50"/>
    <w:rsid w:val="00F816E4"/>
    <w:rsid w:val="00F9546D"/>
    <w:rsid w:val="00FA71A3"/>
    <w:rsid w:val="00FB41CA"/>
    <w:rsid w:val="00FC3A04"/>
    <w:rsid w:val="00FD6085"/>
    <w:rsid w:val="00FE0491"/>
    <w:rsid w:val="00FE48E6"/>
    <w:rsid w:val="00FE4AD1"/>
    <w:rsid w:val="00FE6787"/>
    <w:rsid w:val="00FF2715"/>
    <w:rsid w:val="00FF5ED8"/>
    <w:rsid w:val="51595FED"/>
    <w:rsid w:val="65F11099"/>
    <w:rsid w:val="704D727C"/>
    <w:rsid w:val="7AAF08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semiHidden/>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7">
    <w:name w:val="Table Grid"/>
    <w:basedOn w:val="6"/>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9">
    <w:name w:val="Strong"/>
    <w:basedOn w:val="8"/>
    <w:qFormat/>
    <w:uiPriority w:val="22"/>
    <w:rPr>
      <w:b/>
      <w:bCs/>
    </w:rPr>
  </w:style>
  <w:style w:type="character" w:styleId="10">
    <w:name w:val="Hyperlink"/>
    <w:basedOn w:val="8"/>
    <w:unhideWhenUsed/>
    <w:qFormat/>
    <w:uiPriority w:val="99"/>
    <w:rPr>
      <w:color w:val="0000FF"/>
      <w:u w:val="single"/>
    </w:rPr>
  </w:style>
  <w:style w:type="character" w:customStyle="1" w:styleId="11">
    <w:name w:val="页脚 Char"/>
    <w:basedOn w:val="8"/>
    <w:link w:val="3"/>
    <w:semiHidden/>
    <w:qFormat/>
    <w:uiPriority w:val="99"/>
    <w:rPr>
      <w:sz w:val="18"/>
      <w:szCs w:val="18"/>
    </w:rPr>
  </w:style>
  <w:style w:type="character" w:customStyle="1" w:styleId="12">
    <w:name w:val="页眉 Char"/>
    <w:basedOn w:val="8"/>
    <w:link w:val="4"/>
    <w:semiHidden/>
    <w:qFormat/>
    <w:uiPriority w:val="99"/>
    <w:rPr>
      <w:sz w:val="18"/>
      <w:szCs w:val="18"/>
    </w:rPr>
  </w:style>
  <w:style w:type="paragraph" w:styleId="13">
    <w:name w:val="List Paragraph"/>
    <w:basedOn w:val="1"/>
    <w:qFormat/>
    <w:uiPriority w:val="34"/>
    <w:pPr>
      <w:ind w:firstLine="420" w:firstLineChars="200"/>
    </w:pPr>
  </w:style>
  <w:style w:type="paragraph" w:customStyle="1" w:styleId="14">
    <w:name w:val="正文 + 宋体"/>
    <w:basedOn w:val="1"/>
    <w:qFormat/>
    <w:uiPriority w:val="0"/>
    <w:pPr>
      <w:tabs>
        <w:tab w:val="left" w:pos="360"/>
      </w:tabs>
      <w:ind w:left="360" w:hanging="360"/>
    </w:pPr>
    <w:rPr>
      <w:rFonts w:ascii="宋体" w:hAnsi="宋体" w:cs="Arial"/>
      <w:color w:val="333333"/>
      <w:szCs w:val="21"/>
    </w:rPr>
  </w:style>
  <w:style w:type="character" w:customStyle="1" w:styleId="15">
    <w:name w:val="批注框文本 Char"/>
    <w:basedOn w:val="8"/>
    <w:link w:val="2"/>
    <w:semiHidden/>
    <w:qFormat/>
    <w:uiPriority w:val="99"/>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0EFAD-E704-490B-9181-5B42C9989E2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1076</Words>
  <Characters>1200</Characters>
  <Lines>9</Lines>
  <Paragraphs>2</Paragraphs>
  <TotalTime>218</TotalTime>
  <ScaleCrop>false</ScaleCrop>
  <LinksUpToDate>false</LinksUpToDate>
  <CharactersWithSpaces>1224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2018-09-13T03:17:00Z</dcterms:created>
  <dc:creator>鲁廷君</dc:creator>
  <cp:lastModifiedBy>Hana</cp:lastModifiedBy>
  <cp:lastPrinted>2014-06-14T05:49:00Z</cp:lastPrinted>
  <dcterms:modified xsi:type="dcterms:W3CDTF">2025-06-21T01:49:42Z</dcterms:modified>
  <cp:revision>176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B95E5BF716034E21964A5A1742BB32D0_12</vt:lpwstr>
  </property>
  <property fmtid="{D5CDD505-2E9C-101B-9397-08002B2CF9AE}" pid="4" name="KSOTemplateDocerSaveRecord">
    <vt:lpwstr>eyJoZGlkIjoiOGIyNjU0YTY0YjA2ZTcyYTZhM2Y0YTg4Nzk1NGNkMzUiLCJ1c2VySWQiOiI1OTc3MjEyMjgifQ==</vt:lpwstr>
  </property>
</Properties>
</file>