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line="500" w:lineRule="exact"/>
        <w:jc w:val="center"/>
        <w:rPr>
          <w:rFonts w:ascii="微软雅黑" w:hAnsi="微软雅黑" w:eastAsia="微软雅黑"/>
          <w:b/>
          <w:sz w:val="44"/>
          <w:szCs w:val="44"/>
        </w:rPr>
      </w:pPr>
      <w:r>
        <w:rPr>
          <w:rFonts w:hint="eastAsia" w:ascii="微软雅黑" w:hAnsi="微软雅黑" w:eastAsia="微软雅黑"/>
          <w:b/>
          <w:sz w:val="44"/>
          <w:szCs w:val="44"/>
        </w:rPr>
        <w:t>协鑫能科浙江区域运营中心</w:t>
      </w:r>
    </w:p>
    <w:p>
      <w:pPr>
        <w:spacing w:before="240" w:line="500" w:lineRule="exact"/>
        <w:jc w:val="center"/>
        <w:rPr>
          <w:rFonts w:ascii="微软雅黑" w:hAnsi="微软雅黑" w:eastAsia="微软雅黑"/>
          <w:b/>
          <w:sz w:val="44"/>
          <w:szCs w:val="44"/>
        </w:rPr>
      </w:pPr>
      <w:r>
        <w:rPr>
          <w:rFonts w:hint="eastAsia" w:ascii="微软雅黑" w:hAnsi="微软雅黑" w:eastAsia="微软雅黑"/>
          <w:b/>
          <w:sz w:val="44"/>
          <w:szCs w:val="44"/>
        </w:rPr>
        <w:t>202</w:t>
      </w:r>
      <w:r>
        <w:rPr>
          <w:rFonts w:ascii="微软雅黑" w:hAnsi="微软雅黑" w:eastAsia="微软雅黑"/>
          <w:b/>
          <w:sz w:val="44"/>
          <w:szCs w:val="44"/>
        </w:rPr>
        <w:t>4</w:t>
      </w:r>
      <w:r>
        <w:rPr>
          <w:rFonts w:hint="eastAsia" w:ascii="微软雅黑" w:hAnsi="微软雅黑" w:eastAsia="微软雅黑"/>
          <w:b/>
          <w:sz w:val="44"/>
          <w:szCs w:val="44"/>
        </w:rPr>
        <w:t>届校园招聘简章</w:t>
      </w:r>
    </w:p>
    <w:p>
      <w:pPr>
        <w:widowControl/>
        <w:shd w:val="clear" w:color="auto" w:fill="FFFFFF"/>
        <w:spacing w:before="312" w:beforeLines="100" w:line="480" w:lineRule="auto"/>
        <w:ind w:firstLine="480" w:firstLineChars="200"/>
        <w:jc w:val="left"/>
        <w:rPr>
          <w:rFonts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pPr>
      <w:r>
        <w:rPr>
          <w:rFonts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mc:AlternateContent>
          <mc:Choice Requires="wps">
            <w:drawing>
              <wp:anchor distT="0" distB="0" distL="114300" distR="114300" simplePos="0" relativeHeight="251660288" behindDoc="0" locked="0" layoutInCell="1" allowOverlap="1">
                <wp:simplePos x="0" y="0"/>
                <wp:positionH relativeFrom="column">
                  <wp:posOffset>11294745</wp:posOffset>
                </wp:positionH>
                <wp:positionV relativeFrom="paragraph">
                  <wp:posOffset>1429385</wp:posOffset>
                </wp:positionV>
                <wp:extent cx="5580380" cy="320040"/>
                <wp:effectExtent l="0" t="0" r="0" b="0"/>
                <wp:wrapNone/>
                <wp:docPr id="23" name="矩形 23"/>
                <wp:cNvGraphicFramePr/>
                <a:graphic xmlns:a="http://schemas.openxmlformats.org/drawingml/2006/main">
                  <a:graphicData uri="http://schemas.microsoft.com/office/word/2010/wordprocessingShape">
                    <wps:wsp>
                      <wps:cNvSpPr/>
                      <wps:spPr>
                        <a:xfrm>
                          <a:off x="0" y="0"/>
                          <a:ext cx="5580380" cy="320040"/>
                        </a:xfrm>
                        <a:prstGeom prst="rect">
                          <a:avLst/>
                        </a:prstGeom>
                        <a:ln w="3175">
                          <a:noFill/>
                        </a:ln>
                      </wps:spPr>
                      <wps:txbx>
                        <w:txbxContent>
                          <w:p>
                            <w:pPr>
                              <w:pStyle w:val="25"/>
                              <w:widowControl/>
                              <w:numPr>
                                <w:ilvl w:val="0"/>
                                <w:numId w:val="1"/>
                              </w:numPr>
                              <w:ind w:firstLineChars="0"/>
                              <w:jc w:val="left"/>
                              <w:rPr>
                                <w:szCs w:val="21"/>
                              </w:rPr>
                            </w:pPr>
                            <w:r>
                              <w:rPr>
                                <w:rFonts w:hint="eastAsia" w:ascii="Calibri" w:eastAsia="宋体" w:cs="Times New Roman"/>
                                <w:color w:val="000000"/>
                                <w:kern w:val="24"/>
                                <w:szCs w:val="21"/>
                              </w:rPr>
                              <w:t>国家首批新能源微电网示范工程企业</w:t>
                            </w:r>
                          </w:p>
                        </w:txbxContent>
                      </wps:txbx>
                      <wps:bodyPr wrap="square">
                        <a:spAutoFit/>
                      </wps:bodyPr>
                    </wps:wsp>
                  </a:graphicData>
                </a:graphic>
              </wp:anchor>
            </w:drawing>
          </mc:Choice>
          <mc:Fallback>
            <w:pict>
              <v:rect id="_x0000_s1026" o:spid="_x0000_s1026" o:spt="1" style="position:absolute;left:0pt;margin-left:889.35pt;margin-top:112.55pt;height:25.2pt;width:439.4pt;z-index:251660288;mso-width-relative:page;mso-height-relative:page;" filled="f" stroked="f" coordsize="21600,21600" o:gfxdata="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P1RPo7bAAAADQEAAA8AAAAAAAAAAQAg&#10;AAAAIgAAAGRycy9kb3ducmV2LnhtbFBLAQIUABQAAAAIAIdO4kB1MCBxmQEAAA8DAAAOAAAAAAAA&#10;AAEAIAAAACoBAABkcnMvZTJvRG9jLnhtbFBLBQYAAAAABgAGAFkBAAA1BQAAAAA=&#10;">
                <v:fill on="f" focussize="0,0"/>
                <v:stroke on="f" weight="0.25pt"/>
                <v:imagedata o:title=""/>
                <o:lock v:ext="edit" aspectratio="f"/>
                <v:textbox style="mso-fit-shape-to-text:t;">
                  <w:txbxContent>
                    <w:p>
                      <w:pPr>
                        <w:pStyle w:val="25"/>
                        <w:widowControl/>
                        <w:numPr>
                          <w:ilvl w:val="0"/>
                          <w:numId w:val="1"/>
                        </w:numPr>
                        <w:ind w:firstLineChars="0"/>
                        <w:jc w:val="left"/>
                        <w:rPr>
                          <w:szCs w:val="21"/>
                        </w:rPr>
                      </w:pPr>
                      <w:r>
                        <w:rPr>
                          <w:rFonts w:hint="eastAsia" w:ascii="Calibri" w:eastAsia="宋体" w:cs="Times New Roman"/>
                          <w:color w:val="000000"/>
                          <w:kern w:val="24"/>
                          <w:szCs w:val="21"/>
                        </w:rPr>
                        <w:t>国家首批新能源微电网示范工程企业</w:t>
                      </w:r>
                    </w:p>
                  </w:txbxContent>
                </v:textbox>
              </v:rect>
            </w:pict>
          </mc:Fallback>
        </mc:AlternateContent>
      </w:r>
      <w:r>
        <w:rPr>
          <w:rFonts w:hint="eastAsia"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协鑫能源科技股份有限公司（简称协鑫能科，股票代码002015.SZ)是中国领先的非公有制清洁能源发电及热电联产运营商和服务商之一，母公司协鑫集团位居202</w:t>
      </w:r>
      <w:r>
        <w:rPr>
          <w:rFonts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2</w:t>
      </w:r>
      <w:r>
        <w:rPr>
          <w:rFonts w:hint="eastAsia"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中国企业500强第</w:t>
      </w:r>
      <w:r>
        <w:rPr>
          <w:rFonts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149</w:t>
      </w:r>
      <w:r>
        <w:rPr>
          <w:rFonts w:hint="eastAsia"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位，中国民营企业500强第</w:t>
      </w:r>
      <w:r>
        <w:rPr>
          <w:rFonts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40</w:t>
      </w:r>
      <w:r>
        <w:rPr>
          <w:rFonts w:hint="eastAsia"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位20</w:t>
      </w:r>
      <w:r>
        <w:rPr>
          <w:rFonts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22</w:t>
      </w:r>
      <w:r>
        <w:rPr>
          <w:rFonts w:hint="eastAsia"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全球新能源500强世界第二，资产规模近两千亿元，年度营业收入连续多年超千亿元，总员工数超</w:t>
      </w:r>
      <w:r>
        <w:rPr>
          <w:rFonts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4</w:t>
      </w:r>
      <w:r>
        <w:rPr>
          <w:rFonts w:hint="eastAsia"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 xml:space="preserve">万名。 </w:t>
      </w:r>
    </w:p>
    <w:p>
      <w:pPr>
        <w:widowControl/>
        <w:shd w:val="clear" w:color="auto" w:fill="FFFFFF"/>
        <w:spacing w:line="480" w:lineRule="auto"/>
        <w:ind w:firstLine="480" w:firstLineChars="200"/>
        <w:jc w:val="left"/>
        <w:rPr>
          <w:rFonts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协鑫</w:t>
      </w:r>
      <w:r>
        <w:rPr>
          <w:rFonts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能科</w:t>
      </w:r>
      <w:r>
        <w:rPr>
          <w:rFonts w:hint="eastAsia"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主营业务主要包括燃机热电联产、风力发电、垃圾发电、生物质发电、燃煤热电联产、</w:t>
      </w:r>
      <w:r>
        <w:rPr>
          <w:rFonts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能源互联网</w:t>
      </w:r>
      <w:r>
        <w:rPr>
          <w:rFonts w:hint="eastAsia"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w:t>
      </w:r>
      <w:r>
        <w:rPr>
          <w:rFonts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综合能源</w:t>
      </w:r>
      <w:r>
        <w:rPr>
          <w:rFonts w:hint="eastAsia"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服务、移动</w:t>
      </w:r>
      <w:r>
        <w:rPr>
          <w:rFonts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能源</w:t>
      </w:r>
      <w:r>
        <w:rPr>
          <w:rFonts w:hint="eastAsia"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服务</w:t>
      </w:r>
      <w:r>
        <w:rPr>
          <w:rFonts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、锂电业务</w:t>
      </w:r>
      <w:r>
        <w:rPr>
          <w:rFonts w:hint="eastAsia"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等，国内</w:t>
      </w:r>
      <w:r>
        <w:rPr>
          <w:rFonts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业务主要</w:t>
      </w:r>
      <w:r>
        <w:rPr>
          <w:rFonts w:hint="eastAsia"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分布长三角、粤港澳大湾区、京津冀等经济发达地区，</w:t>
      </w:r>
      <w:r>
        <w:rPr>
          <w:rFonts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国外业务主要</w:t>
      </w:r>
      <w:r>
        <w:rPr>
          <w:rFonts w:hint="eastAsia"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布局</w:t>
      </w:r>
      <w:r>
        <w:rPr>
          <w:rFonts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在东南亚</w:t>
      </w:r>
      <w:r>
        <w:rPr>
          <w:rFonts w:hint="eastAsia"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w:t>
      </w:r>
      <w:r>
        <w:rPr>
          <w:rFonts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欧洲等地区</w:t>
      </w:r>
      <w:r>
        <w:rPr>
          <w:rFonts w:hint="eastAsia"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w:t>
      </w:r>
    </w:p>
    <w:p>
      <w:pPr>
        <w:pStyle w:val="9"/>
        <w:overflowPunct w:val="0"/>
        <w:spacing w:before="0" w:beforeAutospacing="0" w:after="0" w:afterAutospacing="0" w:line="360" w:lineRule="auto"/>
        <w:jc w:val="both"/>
        <w:rPr>
          <w:rFonts w:ascii="微软雅黑" w:hAnsi="微软雅黑" w:eastAsia="微软雅黑"/>
          <w:color w:val="404040" w:themeColor="text1" w:themeTint="BF"/>
          <w:szCs w:val="18"/>
          <w14:textFill>
            <w14:solidFill>
              <w14:schemeClr w14:val="tx1">
                <w14:lumMod w14:val="75000"/>
                <w14:lumOff w14:val="25000"/>
              </w14:schemeClr>
            </w14:solidFill>
          </w14:textFill>
        </w:rPr>
      </w:pPr>
      <w:r>
        <w:rPr>
          <w:rFonts w:ascii="Helvetica" w:hAnsi="Helvetica" w:eastAsia="Helvetica" w:cs="Helvetica"/>
          <w:color w:val="000000"/>
          <w:sz w:val="18"/>
          <w:szCs w:val="18"/>
        </w:rPr>
        <w:t xml:space="preserve">      </w:t>
      </w:r>
      <w:r>
        <w:rPr>
          <w:rFonts w:ascii="微软雅黑" w:hAnsi="微软雅黑" w:eastAsia="微软雅黑"/>
          <w:color w:val="404040" w:themeColor="text1" w:themeTint="BF"/>
          <w:szCs w:val="18"/>
          <w14:textFill>
            <w14:solidFill>
              <w14:schemeClr w14:val="tx1">
                <w14:lumMod w14:val="75000"/>
                <w14:lumOff w14:val="25000"/>
              </w14:schemeClr>
            </w14:solidFill>
          </w14:textFill>
        </w:rPr>
        <w:t xml:space="preserve"> </w:t>
      </w:r>
      <w:r>
        <w:rPr>
          <w:rFonts w:hint="eastAsia" w:ascii="微软雅黑" w:hAnsi="微软雅黑" w:eastAsia="微软雅黑"/>
          <w:color w:val="404040" w:themeColor="text1" w:themeTint="BF"/>
          <w:szCs w:val="18"/>
          <w14:textFill>
            <w14:solidFill>
              <w14:schemeClr w14:val="tx1">
                <w14:lumMod w14:val="75000"/>
                <w14:lumOff w14:val="25000"/>
              </w14:schemeClr>
            </w14:solidFill>
          </w14:textFill>
        </w:rPr>
        <w:t>协鑫能源科技股份有限公司浙江区域运营中心（以下简称</w:t>
      </w:r>
      <w:r>
        <w:rPr>
          <w:rFonts w:ascii="微软雅黑" w:hAnsi="微软雅黑" w:eastAsia="微软雅黑"/>
          <w:color w:val="404040" w:themeColor="text1" w:themeTint="BF"/>
          <w:szCs w:val="18"/>
          <w14:textFill>
            <w14:solidFill>
              <w14:schemeClr w14:val="tx1">
                <w14:lumMod w14:val="75000"/>
                <w14:lumOff w14:val="25000"/>
              </w14:schemeClr>
            </w14:solidFill>
          </w14:textFill>
        </w:rPr>
        <w:t>“</w:t>
      </w:r>
      <w:r>
        <w:rPr>
          <w:rFonts w:hint="eastAsia" w:ascii="微软雅黑" w:hAnsi="微软雅黑" w:eastAsia="微软雅黑"/>
          <w:color w:val="404040" w:themeColor="text1" w:themeTint="BF"/>
          <w:szCs w:val="18"/>
          <w14:textFill>
            <w14:solidFill>
              <w14:schemeClr w14:val="tx1">
                <w14:lumMod w14:val="75000"/>
                <w14:lumOff w14:val="25000"/>
              </w14:schemeClr>
            </w14:solidFill>
          </w14:textFill>
        </w:rPr>
        <w:t>浙江区域</w:t>
      </w:r>
      <w:r>
        <w:rPr>
          <w:rFonts w:ascii="微软雅黑" w:hAnsi="微软雅黑" w:eastAsia="微软雅黑"/>
          <w:color w:val="404040" w:themeColor="text1" w:themeTint="BF"/>
          <w:szCs w:val="18"/>
          <w14:textFill>
            <w14:solidFill>
              <w14:schemeClr w14:val="tx1">
                <w14:lumMod w14:val="75000"/>
                <w14:lumOff w14:val="25000"/>
              </w14:schemeClr>
            </w14:solidFill>
          </w14:textFill>
        </w:rPr>
        <w:t>”</w:t>
      </w:r>
      <w:r>
        <w:rPr>
          <w:rFonts w:hint="eastAsia" w:ascii="微软雅黑" w:hAnsi="微软雅黑" w:eastAsia="微软雅黑"/>
          <w:color w:val="404040" w:themeColor="text1" w:themeTint="BF"/>
          <w:szCs w:val="18"/>
          <w14:textFill>
            <w14:solidFill>
              <w14:schemeClr w14:val="tx1">
                <w14:lumMod w14:val="75000"/>
                <w14:lumOff w14:val="25000"/>
              </w14:schemeClr>
            </w14:solidFill>
          </w14:textFill>
        </w:rPr>
        <w:t>）成立于</w:t>
      </w:r>
      <w:r>
        <w:rPr>
          <w:rFonts w:ascii="微软雅黑" w:hAnsi="微软雅黑" w:eastAsia="微软雅黑"/>
          <w:color w:val="404040" w:themeColor="text1" w:themeTint="BF"/>
          <w:szCs w:val="18"/>
          <w14:textFill>
            <w14:solidFill>
              <w14:schemeClr w14:val="tx1">
                <w14:lumMod w14:val="75000"/>
                <w14:lumOff w14:val="25000"/>
              </w14:schemeClr>
            </w14:solidFill>
          </w14:textFill>
        </w:rPr>
        <w:t>2019</w:t>
      </w:r>
      <w:r>
        <w:rPr>
          <w:rFonts w:hint="eastAsia" w:ascii="微软雅黑" w:hAnsi="微软雅黑" w:eastAsia="微软雅黑"/>
          <w:color w:val="404040" w:themeColor="text1" w:themeTint="BF"/>
          <w:szCs w:val="18"/>
          <w14:textFill>
            <w14:solidFill>
              <w14:schemeClr w14:val="tx1">
                <w14:lumMod w14:val="75000"/>
                <w14:lumOff w14:val="25000"/>
              </w14:schemeClr>
            </w14:solidFill>
          </w14:textFill>
        </w:rPr>
        <w:t>年</w:t>
      </w:r>
      <w:r>
        <w:rPr>
          <w:rFonts w:ascii="微软雅黑" w:hAnsi="微软雅黑" w:eastAsia="微软雅黑"/>
          <w:color w:val="404040" w:themeColor="text1" w:themeTint="BF"/>
          <w:szCs w:val="18"/>
          <w14:textFill>
            <w14:solidFill>
              <w14:schemeClr w14:val="tx1">
                <w14:lumMod w14:val="75000"/>
                <w14:lumOff w14:val="25000"/>
              </w14:schemeClr>
            </w14:solidFill>
          </w14:textFill>
        </w:rPr>
        <w:t>10</w:t>
      </w:r>
      <w:r>
        <w:rPr>
          <w:rFonts w:hint="eastAsia" w:ascii="微软雅黑" w:hAnsi="微软雅黑" w:eastAsia="微软雅黑"/>
          <w:color w:val="404040" w:themeColor="text1" w:themeTint="BF"/>
          <w:szCs w:val="18"/>
          <w14:textFill>
            <w14:solidFill>
              <w14:schemeClr w14:val="tx1">
                <w14:lumMod w14:val="75000"/>
                <w14:lumOff w14:val="25000"/>
              </w14:schemeClr>
            </w14:solidFill>
          </w14:textFill>
        </w:rPr>
        <w:t>月，主要业务范围涵盖：高效环保火电开发及经营管理；热电联产及其副产品的销售；清洁能源（如分布式能源、风力发电项目、可再生能源项目）开发、运营。浙江区域麾下拥有燃煤发电企业</w:t>
      </w:r>
      <w:r>
        <w:rPr>
          <w:rFonts w:ascii="微软雅黑" w:hAnsi="微软雅黑" w:eastAsia="微软雅黑"/>
          <w:color w:val="404040" w:themeColor="text1" w:themeTint="BF"/>
          <w:szCs w:val="18"/>
          <w14:textFill>
            <w14:solidFill>
              <w14:schemeClr w14:val="tx1">
                <w14:lumMod w14:val="75000"/>
                <w14:lumOff w14:val="25000"/>
              </w14:schemeClr>
            </w14:solidFill>
          </w14:textFill>
        </w:rPr>
        <w:t>3</w:t>
      </w:r>
      <w:r>
        <w:rPr>
          <w:rFonts w:hint="eastAsia" w:ascii="微软雅黑" w:hAnsi="微软雅黑" w:eastAsia="微软雅黑"/>
          <w:color w:val="404040" w:themeColor="text1" w:themeTint="BF"/>
          <w:szCs w:val="18"/>
          <w14:textFill>
            <w14:solidFill>
              <w14:schemeClr w14:val="tx1">
                <w14:lumMod w14:val="75000"/>
                <w14:lumOff w14:val="25000"/>
              </w14:schemeClr>
            </w14:solidFill>
          </w14:textFill>
        </w:rPr>
        <w:t>家，运营、管理装机容量</w:t>
      </w:r>
      <w:r>
        <w:rPr>
          <w:rFonts w:ascii="微软雅黑" w:hAnsi="微软雅黑" w:eastAsia="微软雅黑"/>
          <w:color w:val="404040" w:themeColor="text1" w:themeTint="BF"/>
          <w:szCs w:val="18"/>
          <w14:textFill>
            <w14:solidFill>
              <w14:schemeClr w14:val="tx1">
                <w14:lumMod w14:val="75000"/>
                <w14:lumOff w14:val="25000"/>
              </w14:schemeClr>
            </w14:solidFill>
          </w14:textFill>
        </w:rPr>
        <w:t>107MW</w:t>
      </w:r>
      <w:r>
        <w:rPr>
          <w:rFonts w:hint="eastAsia" w:ascii="微软雅黑" w:hAnsi="微软雅黑" w:eastAsia="微软雅黑"/>
          <w:color w:val="404040" w:themeColor="text1" w:themeTint="BF"/>
          <w:szCs w:val="18"/>
          <w14:textFill>
            <w14:solidFill>
              <w14:schemeClr w14:val="tx1">
                <w14:lumMod w14:val="75000"/>
                <w14:lumOff w14:val="25000"/>
              </w14:schemeClr>
            </w14:solidFill>
          </w14:textFill>
        </w:rPr>
        <w:t>，公司始终秉承</w:t>
      </w:r>
      <w:r>
        <w:rPr>
          <w:rFonts w:ascii="微软雅黑" w:hAnsi="微软雅黑" w:eastAsia="微软雅黑"/>
          <w:color w:val="404040" w:themeColor="text1" w:themeTint="BF"/>
          <w:szCs w:val="18"/>
          <w14:textFill>
            <w14:solidFill>
              <w14:schemeClr w14:val="tx1">
                <w14:lumMod w14:val="75000"/>
                <w14:lumOff w14:val="25000"/>
              </w14:schemeClr>
            </w14:solidFill>
          </w14:textFill>
        </w:rPr>
        <w:t>“</w:t>
      </w:r>
      <w:r>
        <w:rPr>
          <w:rFonts w:hint="eastAsia" w:ascii="微软雅黑" w:hAnsi="微软雅黑" w:eastAsia="微软雅黑"/>
          <w:color w:val="404040" w:themeColor="text1" w:themeTint="BF"/>
          <w:szCs w:val="18"/>
          <w14:textFill>
            <w14:solidFill>
              <w14:schemeClr w14:val="tx1">
                <w14:lumMod w14:val="75000"/>
                <w14:lumOff w14:val="25000"/>
              </w14:schemeClr>
            </w14:solidFill>
          </w14:textFill>
        </w:rPr>
        <w:t>把绿色能源带进生活</w:t>
      </w:r>
      <w:r>
        <w:rPr>
          <w:rFonts w:ascii="微软雅黑" w:hAnsi="微软雅黑" w:eastAsia="微软雅黑"/>
          <w:color w:val="404040" w:themeColor="text1" w:themeTint="BF"/>
          <w:szCs w:val="18"/>
          <w14:textFill>
            <w14:solidFill>
              <w14:schemeClr w14:val="tx1">
                <w14:lumMod w14:val="75000"/>
                <w14:lumOff w14:val="25000"/>
              </w14:schemeClr>
            </w14:solidFill>
          </w14:textFill>
        </w:rPr>
        <w:t>”</w:t>
      </w:r>
      <w:r>
        <w:rPr>
          <w:rFonts w:hint="eastAsia" w:ascii="微软雅黑" w:hAnsi="微软雅黑" w:eastAsia="微软雅黑"/>
          <w:color w:val="404040" w:themeColor="text1" w:themeTint="BF"/>
          <w:szCs w:val="18"/>
          <w14:textFill>
            <w14:solidFill>
              <w14:schemeClr w14:val="tx1">
                <w14:lumMod w14:val="75000"/>
                <w14:lumOff w14:val="25000"/>
              </w14:schemeClr>
            </w14:solidFill>
          </w14:textFill>
        </w:rPr>
        <w:t>的理念，为社会提供高效的清洁能源，持续改善人类生存环境。</w:t>
      </w:r>
    </w:p>
    <w:p>
      <w:pPr>
        <w:spacing w:line="480" w:lineRule="auto"/>
        <w:ind w:firstLine="480" w:firstLineChars="200"/>
        <w:rPr>
          <w:rFonts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pPr>
      <w:r>
        <w:rPr>
          <w:rFonts w:hint="eastAsia"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现浙江区域运营中心因业务发展需要，拟招聘</w:t>
      </w:r>
      <w:r>
        <w:rPr>
          <w:rFonts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2024</w:t>
      </w:r>
      <w:r>
        <w:rPr>
          <w:rFonts w:hint="eastAsia"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届</w:t>
      </w:r>
      <w:r>
        <w:rPr>
          <w:rFonts w:hint="eastAsia" w:ascii="微软雅黑" w:hAnsi="微软雅黑" w:eastAsia="微软雅黑" w:cs="宋体"/>
          <w:color w:val="404040" w:themeColor="text1" w:themeTint="BF"/>
          <w:kern w:val="0"/>
          <w:sz w:val="24"/>
          <w:szCs w:val="18"/>
          <w:lang w:val="en-US" w:eastAsia="zh-CN"/>
          <w14:textFill>
            <w14:solidFill>
              <w14:schemeClr w14:val="tx1">
                <w14:lumMod w14:val="75000"/>
                <w14:lumOff w14:val="25000"/>
              </w14:schemeClr>
            </w14:solidFill>
          </w14:textFill>
        </w:rPr>
        <w:t>发电运行技术、热能动力或电气及其他电厂相关</w:t>
      </w:r>
      <w:r>
        <w:rPr>
          <w:rFonts w:hint="eastAsia"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专业应届毕业生</w:t>
      </w:r>
      <w:r>
        <w:rPr>
          <w:rFonts w:hint="eastAsia" w:ascii="微软雅黑" w:hAnsi="微软雅黑" w:eastAsia="微软雅黑" w:cs="宋体"/>
          <w:color w:val="404040" w:themeColor="text1" w:themeTint="BF"/>
          <w:kern w:val="0"/>
          <w:sz w:val="24"/>
          <w:szCs w:val="18"/>
          <w:lang w:val="en-US" w:eastAsia="zh-CN"/>
          <w14:textFill>
            <w14:solidFill>
              <w14:schemeClr w14:val="tx1">
                <w14:lumMod w14:val="75000"/>
                <w14:lumOff w14:val="25000"/>
              </w14:schemeClr>
            </w14:solidFill>
          </w14:textFill>
        </w:rPr>
        <w:t>5-6</w:t>
      </w:r>
      <w:r>
        <w:rPr>
          <w:rFonts w:hint="eastAsia" w:ascii="微软雅黑" w:hAnsi="微软雅黑" w:eastAsia="微软雅黑" w:cs="宋体"/>
          <w:color w:val="404040" w:themeColor="text1" w:themeTint="BF"/>
          <w:kern w:val="0"/>
          <w:sz w:val="24"/>
          <w:szCs w:val="18"/>
          <w14:textFill>
            <w14:solidFill>
              <w14:schemeClr w14:val="tx1">
                <w14:lumMod w14:val="75000"/>
                <w14:lumOff w14:val="25000"/>
              </w14:schemeClr>
            </w14:solidFill>
          </w14:textFill>
        </w:rPr>
        <w:t>人。相关信息如下：</w:t>
      </w:r>
    </w:p>
    <w:p>
      <w:pPr>
        <w:spacing w:line="500" w:lineRule="exact"/>
        <w:rPr>
          <w:rStyle w:val="14"/>
          <w:rFonts w:ascii="微软雅黑" w:hAnsi="微软雅黑" w:eastAsia="微软雅黑" w:cstheme="majorBidi"/>
          <w:spacing w:val="8"/>
          <w:sz w:val="27"/>
          <w:szCs w:val="27"/>
        </w:rPr>
      </w:pPr>
      <w:r>
        <w:rPr>
          <w:rStyle w:val="14"/>
          <w:rFonts w:hint="eastAsia" w:ascii="微软雅黑" w:hAnsi="微软雅黑" w:eastAsia="微软雅黑" w:cstheme="majorBidi"/>
          <w:spacing w:val="8"/>
          <w:sz w:val="27"/>
          <w:szCs w:val="27"/>
        </w:rPr>
        <w:t>二</w:t>
      </w:r>
      <w:r>
        <w:rPr>
          <w:rStyle w:val="14"/>
          <w:rFonts w:ascii="微软雅黑" w:hAnsi="微软雅黑" w:eastAsia="微软雅黑" w:cstheme="majorBidi"/>
          <w:spacing w:val="8"/>
          <w:sz w:val="27"/>
          <w:szCs w:val="27"/>
        </w:rPr>
        <w:t>、</w:t>
      </w:r>
      <w:r>
        <w:rPr>
          <w:rStyle w:val="14"/>
          <w:rFonts w:hint="eastAsia" w:ascii="微软雅黑" w:hAnsi="微软雅黑" w:eastAsia="微软雅黑" w:cstheme="majorBidi"/>
          <w:spacing w:val="8"/>
          <w:sz w:val="27"/>
          <w:szCs w:val="27"/>
        </w:rPr>
        <w:t>基本要求</w:t>
      </w:r>
    </w:p>
    <w:p>
      <w:pPr>
        <w:pStyle w:val="9"/>
        <w:shd w:val="clear" w:color="auto" w:fill="FFFFFF"/>
        <w:spacing w:before="0" w:beforeAutospacing="0" w:after="0" w:afterAutospacing="0" w:line="500" w:lineRule="exact"/>
        <w:jc w:val="both"/>
        <w:rPr>
          <w:rFonts w:ascii="微软雅黑" w:hAnsi="微软雅黑" w:eastAsia="微软雅黑"/>
          <w:color w:val="333333"/>
          <w:spacing w:val="8"/>
        </w:rPr>
      </w:pPr>
      <w:r>
        <w:rPr>
          <w:rFonts w:hint="eastAsia" w:ascii="微软雅黑" w:hAnsi="微软雅黑" w:eastAsia="微软雅黑"/>
          <w:color w:val="333333"/>
          <w:spacing w:val="8"/>
        </w:rPr>
        <w:t>1.全日制普通高校统招20</w:t>
      </w:r>
      <w:r>
        <w:rPr>
          <w:rFonts w:ascii="微软雅黑" w:hAnsi="微软雅黑" w:eastAsia="微软雅黑"/>
          <w:color w:val="333333"/>
          <w:spacing w:val="8"/>
        </w:rPr>
        <w:t>24</w:t>
      </w:r>
      <w:r>
        <w:rPr>
          <w:rFonts w:hint="eastAsia" w:ascii="微软雅黑" w:hAnsi="微软雅黑" w:eastAsia="微软雅黑"/>
          <w:color w:val="333333"/>
          <w:spacing w:val="8"/>
        </w:rPr>
        <w:t>应届毕业生；</w:t>
      </w:r>
    </w:p>
    <w:p>
      <w:pPr>
        <w:pStyle w:val="9"/>
        <w:shd w:val="clear" w:color="auto" w:fill="FFFFFF"/>
        <w:spacing w:before="0" w:beforeAutospacing="0" w:after="0" w:afterAutospacing="0" w:line="500" w:lineRule="exact"/>
        <w:jc w:val="both"/>
        <w:rPr>
          <w:rFonts w:ascii="微软雅黑" w:hAnsi="微软雅黑" w:eastAsia="微软雅黑"/>
          <w:color w:val="333333"/>
          <w:spacing w:val="8"/>
        </w:rPr>
      </w:pPr>
      <w:r>
        <w:rPr>
          <w:rFonts w:hint="eastAsia" w:ascii="微软雅黑" w:hAnsi="微软雅黑" w:eastAsia="微软雅黑"/>
          <w:color w:val="333333"/>
          <w:spacing w:val="8"/>
        </w:rPr>
        <w:t>2.英语良好</w:t>
      </w:r>
      <w:r>
        <w:rPr>
          <w:rFonts w:ascii="微软雅黑" w:hAnsi="微软雅黑" w:eastAsia="微软雅黑"/>
          <w:color w:val="333333"/>
          <w:spacing w:val="8"/>
        </w:rPr>
        <w:t>（</w:t>
      </w:r>
      <w:r>
        <w:rPr>
          <w:rFonts w:hint="eastAsia" w:ascii="微软雅黑" w:hAnsi="微软雅黑" w:eastAsia="微软雅黑"/>
          <w:color w:val="333333"/>
          <w:spacing w:val="8"/>
        </w:rPr>
        <w:t>通过CET4或CET6考试优先</w:t>
      </w:r>
      <w:r>
        <w:rPr>
          <w:rFonts w:ascii="微软雅黑" w:hAnsi="微软雅黑" w:eastAsia="微软雅黑"/>
          <w:color w:val="333333"/>
          <w:spacing w:val="8"/>
        </w:rPr>
        <w:t>）</w:t>
      </w:r>
      <w:r>
        <w:rPr>
          <w:rFonts w:hint="eastAsia" w:ascii="微软雅黑" w:hAnsi="微软雅黑" w:eastAsia="微软雅黑"/>
          <w:color w:val="333333"/>
          <w:spacing w:val="8"/>
        </w:rPr>
        <w:t>，有较强的计算机应用能力；</w:t>
      </w:r>
    </w:p>
    <w:p>
      <w:pPr>
        <w:pStyle w:val="9"/>
        <w:shd w:val="clear" w:color="auto" w:fill="FFFFFF"/>
        <w:spacing w:before="0" w:beforeAutospacing="0" w:after="0" w:afterAutospacing="0" w:line="500" w:lineRule="exact"/>
        <w:jc w:val="both"/>
        <w:rPr>
          <w:rFonts w:ascii="微软雅黑" w:hAnsi="微软雅黑" w:eastAsia="微软雅黑"/>
          <w:color w:val="333333"/>
          <w:spacing w:val="8"/>
        </w:rPr>
      </w:pPr>
      <w:r>
        <w:rPr>
          <w:rFonts w:hint="eastAsia" w:ascii="微软雅黑" w:hAnsi="微软雅黑" w:eastAsia="微软雅黑"/>
          <w:color w:val="333333"/>
          <w:spacing w:val="8"/>
        </w:rPr>
        <w:t>3.成绩良好（专业前40%优先）、专业知识扎实、有追求、学习能力强；</w:t>
      </w:r>
    </w:p>
    <w:p>
      <w:pPr>
        <w:pStyle w:val="9"/>
        <w:shd w:val="clear" w:color="auto" w:fill="FFFFFF"/>
        <w:spacing w:before="0" w:beforeAutospacing="0" w:after="0" w:afterAutospacing="0" w:line="500" w:lineRule="exact"/>
        <w:jc w:val="both"/>
        <w:rPr>
          <w:rFonts w:ascii="微软雅黑" w:hAnsi="微软雅黑" w:eastAsia="微软雅黑"/>
          <w:color w:val="333333"/>
          <w:spacing w:val="8"/>
        </w:rPr>
      </w:pPr>
      <w:r>
        <w:rPr>
          <w:rFonts w:hint="eastAsia" w:ascii="微软雅黑" w:hAnsi="微软雅黑" w:eastAsia="微软雅黑"/>
          <w:color w:val="333333"/>
          <w:spacing w:val="8"/>
        </w:rPr>
        <w:t>4.认同协鑫文化，做事富有激情和主动性，具备良好的沟通和人际协调能力；</w:t>
      </w:r>
    </w:p>
    <w:p>
      <w:pPr>
        <w:pStyle w:val="9"/>
        <w:shd w:val="clear" w:color="auto" w:fill="FFFFFF"/>
        <w:spacing w:before="0" w:beforeAutospacing="0" w:after="0" w:afterAutospacing="0" w:line="500" w:lineRule="exact"/>
        <w:jc w:val="both"/>
        <w:rPr>
          <w:rFonts w:ascii="微软雅黑" w:hAnsi="微软雅黑" w:eastAsia="微软雅黑"/>
          <w:color w:val="333333"/>
          <w:spacing w:val="8"/>
        </w:rPr>
      </w:pPr>
      <w:r>
        <w:rPr>
          <w:rFonts w:hint="eastAsia" w:ascii="微软雅黑" w:hAnsi="微软雅黑" w:eastAsia="微软雅黑"/>
          <w:color w:val="333333"/>
          <w:spacing w:val="8"/>
        </w:rPr>
        <w:t>5.诚实可信、富有团队合作精神，乐于学习、敢于创新、不断追求卓越；</w:t>
      </w:r>
    </w:p>
    <w:p>
      <w:pPr>
        <w:pStyle w:val="9"/>
        <w:shd w:val="clear" w:color="auto" w:fill="FFFFFF"/>
        <w:spacing w:before="0" w:beforeAutospacing="0" w:after="0" w:afterAutospacing="0" w:line="500" w:lineRule="exact"/>
        <w:jc w:val="both"/>
        <w:rPr>
          <w:rFonts w:ascii="微软雅黑" w:hAnsi="微软雅黑" w:eastAsia="微软雅黑"/>
          <w:color w:val="333333"/>
          <w:spacing w:val="8"/>
        </w:rPr>
      </w:pPr>
      <w:r>
        <w:rPr>
          <w:rFonts w:hint="eastAsia" w:ascii="微软雅黑" w:hAnsi="微软雅黑" w:eastAsia="微软雅黑"/>
          <w:color w:val="333333"/>
          <w:spacing w:val="8"/>
        </w:rPr>
        <w:t>6.能吃苦耐劳，可接受出差及外派。</w:t>
      </w:r>
    </w:p>
    <w:p>
      <w:pPr>
        <w:spacing w:line="500" w:lineRule="exact"/>
        <w:rPr>
          <w:rStyle w:val="14"/>
          <w:rFonts w:ascii="微软雅黑" w:hAnsi="微软雅黑" w:eastAsia="微软雅黑" w:cstheme="majorBidi"/>
          <w:spacing w:val="8"/>
          <w:sz w:val="27"/>
          <w:szCs w:val="27"/>
        </w:rPr>
      </w:pPr>
      <w:r>
        <w:rPr>
          <w:rStyle w:val="14"/>
          <w:rFonts w:hint="eastAsia" w:ascii="微软雅黑" w:hAnsi="微软雅黑" w:eastAsia="微软雅黑" w:cstheme="majorBidi"/>
          <w:spacing w:val="8"/>
          <w:sz w:val="27"/>
          <w:szCs w:val="27"/>
        </w:rPr>
        <w:t>三、薪资福利待遇</w:t>
      </w:r>
    </w:p>
    <w:p>
      <w:pPr>
        <w:pStyle w:val="9"/>
        <w:shd w:val="clear" w:color="auto" w:fill="FFFFFF"/>
        <w:spacing w:before="0" w:beforeAutospacing="0" w:after="0" w:afterAutospacing="0" w:line="420" w:lineRule="atLeast"/>
        <w:rPr>
          <w:rFonts w:ascii="微软雅黑" w:hAnsi="微软雅黑" w:eastAsia="微软雅黑"/>
          <w:color w:val="333333"/>
          <w:sz w:val="21"/>
          <w:szCs w:val="21"/>
        </w:rPr>
      </w:pPr>
      <w:r>
        <w:rPr>
          <w:rFonts w:hint="eastAsia" w:ascii="微软雅黑" w:hAnsi="微软雅黑" w:eastAsia="微软雅黑"/>
          <w:color w:val="333333"/>
        </w:rPr>
        <w:t>1、薪资待遇</w:t>
      </w:r>
    </w:p>
    <w:p>
      <w:pPr>
        <w:pStyle w:val="9"/>
        <w:shd w:val="clear" w:color="auto" w:fill="FFFFFF"/>
        <w:spacing w:before="0" w:beforeAutospacing="0" w:after="0" w:afterAutospacing="0" w:line="420" w:lineRule="atLeast"/>
        <w:ind w:firstLine="240" w:firstLineChars="100"/>
        <w:rPr>
          <w:rFonts w:ascii="微软雅黑" w:hAnsi="微软雅黑" w:eastAsia="微软雅黑"/>
          <w:color w:val="333333"/>
          <w:sz w:val="21"/>
          <w:szCs w:val="21"/>
        </w:rPr>
      </w:pPr>
      <w:r>
        <w:rPr>
          <w:rFonts w:hint="eastAsia" w:ascii="微软雅黑" w:hAnsi="微软雅黑" w:eastAsia="微软雅黑"/>
          <w:color w:val="333333"/>
        </w:rPr>
        <w:t>税前年收入:</w:t>
      </w:r>
      <w:r>
        <w:rPr>
          <w:rFonts w:hint="eastAsia" w:ascii="微软雅黑" w:hAnsi="微软雅黑" w:eastAsia="微软雅黑"/>
          <w:color w:val="333333"/>
          <w:lang w:val="en-US" w:eastAsia="zh-CN"/>
        </w:rPr>
        <w:t>8</w:t>
      </w:r>
      <w:r>
        <w:rPr>
          <w:rFonts w:hint="eastAsia" w:ascii="微软雅黑" w:hAnsi="微软雅黑" w:eastAsia="微软雅黑"/>
          <w:color w:val="333333"/>
        </w:rPr>
        <w:t>—</w:t>
      </w:r>
      <w:r>
        <w:rPr>
          <w:rFonts w:ascii="微软雅黑" w:hAnsi="微软雅黑" w:eastAsia="微软雅黑"/>
          <w:color w:val="333333"/>
        </w:rPr>
        <w:t>9</w:t>
      </w:r>
      <w:r>
        <w:rPr>
          <w:rFonts w:hint="eastAsia" w:ascii="微软雅黑" w:hAnsi="微软雅黑" w:eastAsia="微软雅黑"/>
          <w:color w:val="333333"/>
        </w:rPr>
        <w:t>万元。</w:t>
      </w:r>
    </w:p>
    <w:p>
      <w:pPr>
        <w:pStyle w:val="9"/>
        <w:shd w:val="clear" w:color="auto" w:fill="FFFFFF"/>
        <w:spacing w:before="0" w:beforeAutospacing="0" w:after="0" w:afterAutospacing="0" w:line="420" w:lineRule="atLeast"/>
        <w:ind w:firstLine="240" w:firstLineChars="100"/>
        <w:rPr>
          <w:rFonts w:ascii="微软雅黑" w:hAnsi="微软雅黑" w:eastAsia="微软雅黑"/>
          <w:color w:val="333333"/>
          <w:sz w:val="21"/>
          <w:szCs w:val="21"/>
        </w:rPr>
      </w:pPr>
      <w:r>
        <w:rPr>
          <w:rFonts w:hint="eastAsia" w:ascii="微软雅黑" w:hAnsi="微软雅黑" w:eastAsia="微软雅黑"/>
          <w:color w:val="333333"/>
        </w:rPr>
        <w:t>薪资构成为：固定薪酬+奖金+福利。缴纳</w:t>
      </w:r>
      <w:r>
        <w:rPr>
          <w:rStyle w:val="14"/>
          <w:rFonts w:hint="eastAsia" w:ascii="微软雅黑" w:hAnsi="微软雅黑" w:eastAsia="微软雅黑"/>
          <w:b w:val="0"/>
          <w:bCs w:val="0"/>
          <w:color w:val="333333"/>
        </w:rPr>
        <w:t>五险一金</w:t>
      </w:r>
      <w:r>
        <w:rPr>
          <w:rFonts w:hint="eastAsia" w:ascii="微软雅黑" w:hAnsi="微软雅黑" w:eastAsia="微软雅黑"/>
          <w:color w:val="333333"/>
        </w:rPr>
        <w:t>，另有大病医疗、意外伤害、雇主责任等商业保险。</w:t>
      </w:r>
      <w:r>
        <w:rPr>
          <w:rFonts w:hint="eastAsia" w:ascii="微软雅黑" w:hAnsi="微软雅黑" w:eastAsia="微软雅黑"/>
          <w:color w:val="333333"/>
          <w:sz w:val="21"/>
          <w:szCs w:val="21"/>
        </w:rPr>
        <w:t xml:space="preserve"> </w:t>
      </w:r>
    </w:p>
    <w:p>
      <w:pPr>
        <w:pStyle w:val="9"/>
        <w:shd w:val="clear" w:color="auto" w:fill="FFFFFF"/>
        <w:spacing w:before="0" w:beforeAutospacing="0" w:after="0" w:afterAutospacing="0" w:line="420" w:lineRule="atLeast"/>
        <w:rPr>
          <w:rFonts w:ascii="微软雅黑" w:hAnsi="微软雅黑" w:eastAsia="微软雅黑"/>
          <w:color w:val="333333"/>
          <w:sz w:val="21"/>
          <w:szCs w:val="21"/>
        </w:rPr>
      </w:pPr>
      <w:r>
        <w:rPr>
          <w:rFonts w:hint="eastAsia" w:ascii="微软雅黑" w:hAnsi="微软雅黑" w:eastAsia="微软雅黑"/>
          <w:color w:val="333333"/>
        </w:rPr>
        <w:t>2、福利待遇</w:t>
      </w:r>
    </w:p>
    <w:p>
      <w:pPr>
        <w:pStyle w:val="9"/>
        <w:shd w:val="clear" w:color="auto" w:fill="FFFFFF"/>
        <w:spacing w:before="0" w:beforeAutospacing="0" w:after="0" w:afterAutospacing="0" w:line="420" w:lineRule="atLeast"/>
        <w:rPr>
          <w:rFonts w:ascii="微软雅黑" w:hAnsi="微软雅黑" w:eastAsia="微软雅黑"/>
          <w:color w:val="333333"/>
          <w:sz w:val="21"/>
          <w:szCs w:val="21"/>
        </w:rPr>
      </w:pPr>
      <w:r>
        <w:rPr>
          <w:rFonts w:hint="eastAsia" w:ascii="微软雅黑" w:hAnsi="微软雅黑" w:eastAsia="微软雅黑"/>
          <w:color w:val="333333"/>
        </w:rPr>
        <w:t>（1）免费提供年度员工健康体检。</w:t>
      </w:r>
    </w:p>
    <w:p>
      <w:pPr>
        <w:pStyle w:val="9"/>
        <w:shd w:val="clear" w:color="auto" w:fill="FFFFFF"/>
        <w:spacing w:before="0" w:beforeAutospacing="0" w:after="0" w:afterAutospacing="0" w:line="420" w:lineRule="atLeast"/>
        <w:rPr>
          <w:rFonts w:ascii="微软雅黑" w:hAnsi="微软雅黑" w:eastAsia="微软雅黑"/>
          <w:color w:val="333333"/>
          <w:sz w:val="21"/>
          <w:szCs w:val="21"/>
        </w:rPr>
      </w:pPr>
      <w:r>
        <w:rPr>
          <w:rFonts w:hint="eastAsia" w:ascii="微软雅黑" w:hAnsi="微软雅黑" w:eastAsia="微软雅黑"/>
          <w:color w:val="333333"/>
        </w:rPr>
        <w:t>（2）</w:t>
      </w:r>
      <w:r>
        <w:rPr>
          <w:rStyle w:val="14"/>
          <w:rFonts w:hint="eastAsia" w:ascii="微软雅黑" w:hAnsi="微软雅黑" w:eastAsia="微软雅黑"/>
          <w:b w:val="0"/>
          <w:bCs w:val="0"/>
          <w:color w:val="333333"/>
        </w:rPr>
        <w:t>员工食堂</w:t>
      </w:r>
      <w:r>
        <w:rPr>
          <w:rFonts w:hint="eastAsia" w:ascii="微软雅黑" w:hAnsi="微软雅黑" w:eastAsia="微软雅黑"/>
          <w:color w:val="333333"/>
        </w:rPr>
        <w:t>：公司生活区配备食堂。</w:t>
      </w:r>
    </w:p>
    <w:p>
      <w:pPr>
        <w:pStyle w:val="9"/>
        <w:shd w:val="clear" w:color="auto" w:fill="FFFFFF"/>
        <w:spacing w:before="0" w:beforeAutospacing="0" w:after="0" w:afterAutospacing="0" w:line="420" w:lineRule="atLeast"/>
        <w:rPr>
          <w:rFonts w:ascii="微软雅黑" w:hAnsi="微软雅黑" w:eastAsia="微软雅黑"/>
          <w:color w:val="333333"/>
          <w:sz w:val="21"/>
          <w:szCs w:val="21"/>
        </w:rPr>
      </w:pPr>
      <w:r>
        <w:rPr>
          <w:rFonts w:hint="eastAsia" w:ascii="微软雅黑" w:hAnsi="微软雅黑" w:eastAsia="微软雅黑"/>
          <w:color w:val="333333"/>
        </w:rPr>
        <w:t>（3）员工宿舍：位于公司生活区，免费提供，配备卫浴、网络、空调、洗衣机、热水四季供应，距离工作地点步行3分钟。</w:t>
      </w:r>
    </w:p>
    <w:p>
      <w:pPr>
        <w:pStyle w:val="9"/>
        <w:shd w:val="clear" w:color="auto" w:fill="FFFFFF"/>
        <w:spacing w:before="0" w:beforeAutospacing="0" w:after="0" w:afterAutospacing="0" w:line="420" w:lineRule="atLeast"/>
        <w:rPr>
          <w:rFonts w:ascii="微软雅黑" w:hAnsi="微软雅黑" w:eastAsia="微软雅黑"/>
          <w:color w:val="333333"/>
          <w:sz w:val="21"/>
          <w:szCs w:val="21"/>
        </w:rPr>
      </w:pPr>
      <w:r>
        <w:rPr>
          <w:rFonts w:hint="eastAsia" w:ascii="微软雅黑" w:hAnsi="微软雅黑" w:eastAsia="微软雅黑"/>
          <w:color w:val="333333"/>
        </w:rPr>
        <w:t>（4）公司</w:t>
      </w:r>
      <w:r>
        <w:rPr>
          <w:rStyle w:val="14"/>
          <w:rFonts w:hint="eastAsia" w:ascii="微软雅黑" w:hAnsi="微软雅黑" w:eastAsia="微软雅黑"/>
          <w:b w:val="0"/>
          <w:bCs w:val="0"/>
          <w:color w:val="333333"/>
        </w:rPr>
        <w:t>福利</w:t>
      </w:r>
      <w:r>
        <w:rPr>
          <w:rFonts w:hint="eastAsia" w:ascii="微软雅黑" w:hAnsi="微软雅黑" w:eastAsia="微软雅黑"/>
          <w:color w:val="333333"/>
        </w:rPr>
        <w:t>(夏季防暑降温物资、各项节日礼物、生日礼物、结婚生日贺金、慰问金等)。</w:t>
      </w:r>
    </w:p>
    <w:p>
      <w:pPr>
        <w:pStyle w:val="9"/>
        <w:shd w:val="clear" w:color="auto" w:fill="FFFFFF"/>
        <w:spacing w:before="0" w:beforeAutospacing="0" w:after="0" w:afterAutospacing="0" w:line="420" w:lineRule="atLeast"/>
        <w:rPr>
          <w:rStyle w:val="14"/>
          <w:rFonts w:ascii="微软雅黑" w:hAnsi="微软雅黑" w:eastAsia="微软雅黑"/>
          <w:color w:val="333333"/>
          <w:sz w:val="21"/>
          <w:szCs w:val="21"/>
        </w:rPr>
      </w:pPr>
      <w:r>
        <w:rPr>
          <w:rFonts w:hint="eastAsia" w:ascii="微软雅黑" w:hAnsi="微软雅黑" w:eastAsia="微软雅黑"/>
          <w:color w:val="333333"/>
        </w:rPr>
        <w:t>（5）每年开展各种体育类、休闲类活动，团建等。</w:t>
      </w:r>
    </w:p>
    <w:p>
      <w:pPr>
        <w:spacing w:line="500" w:lineRule="exact"/>
        <w:rPr>
          <w:rStyle w:val="14"/>
          <w:rFonts w:ascii="微软雅黑" w:hAnsi="微软雅黑" w:eastAsia="微软雅黑" w:cstheme="majorBidi"/>
          <w:bCs w:val="0"/>
          <w:sz w:val="27"/>
          <w:szCs w:val="27"/>
        </w:rPr>
      </w:pPr>
      <w:r>
        <w:rPr>
          <w:rStyle w:val="14"/>
          <w:rFonts w:hint="eastAsia" w:ascii="微软雅黑" w:hAnsi="微软雅黑" w:eastAsia="微软雅黑" w:cstheme="majorBidi"/>
          <w:bCs w:val="0"/>
          <w:sz w:val="27"/>
          <w:szCs w:val="27"/>
        </w:rPr>
        <w:t>四、职业发展</w:t>
      </w:r>
    </w:p>
    <w:p>
      <w:pPr>
        <w:spacing w:line="500" w:lineRule="exact"/>
        <w:ind w:firstLine="480" w:firstLineChars="200"/>
        <w:rPr>
          <w:rStyle w:val="14"/>
          <w:rFonts w:ascii="微软雅黑" w:hAnsi="微软雅黑" w:eastAsia="微软雅黑" w:cstheme="majorBidi"/>
          <w:b w:val="0"/>
          <w:sz w:val="24"/>
          <w:szCs w:val="24"/>
        </w:rPr>
      </w:pPr>
      <w:r>
        <w:rPr>
          <w:rStyle w:val="14"/>
          <w:rFonts w:hint="eastAsia" w:ascii="微软雅黑" w:hAnsi="微软雅黑" w:eastAsia="微软雅黑" w:cstheme="majorBidi"/>
          <w:b w:val="0"/>
          <w:sz w:val="24"/>
          <w:szCs w:val="24"/>
        </w:rPr>
        <w:t xml:space="preserve">提供多元化的职业发展通道，企业大学培训、定制化职业发展规划等。 </w:t>
      </w:r>
    </w:p>
    <w:p>
      <w:pPr>
        <w:pStyle w:val="9"/>
        <w:shd w:val="clear" w:color="auto" w:fill="FFFFFF"/>
        <w:spacing w:before="0" w:beforeAutospacing="0" w:after="0" w:afterAutospacing="0" w:line="480" w:lineRule="atLeast"/>
        <w:jc w:val="both"/>
        <w:rPr>
          <w:rFonts w:ascii="微软雅黑" w:hAnsi="微软雅黑" w:eastAsia="微软雅黑"/>
        </w:rPr>
      </w:pPr>
    </w:p>
    <w:p>
      <w:pPr>
        <w:pStyle w:val="9"/>
        <w:shd w:val="clear" w:color="auto" w:fill="FFFFFF"/>
        <w:spacing w:before="0" w:beforeAutospacing="0" w:after="0" w:afterAutospacing="0" w:line="480" w:lineRule="atLeast"/>
        <w:jc w:val="both"/>
        <w:rPr>
          <w:rFonts w:ascii="微软雅黑" w:hAnsi="微软雅黑" w:eastAsia="微软雅黑"/>
          <w:b/>
          <w:color w:val="333333"/>
          <w:spacing w:val="8"/>
        </w:rPr>
      </w:pPr>
      <w:r>
        <w:rPr>
          <w:rFonts w:hint="eastAsia" w:ascii="微软雅黑" w:hAnsi="微软雅黑" w:eastAsia="微软雅黑"/>
          <w:b/>
          <w:color w:val="333333"/>
          <w:spacing w:val="8"/>
        </w:rPr>
        <w:t>五、联系我们</w:t>
      </w:r>
    </w:p>
    <w:p>
      <w:pPr>
        <w:spacing w:line="500" w:lineRule="exact"/>
        <w:ind w:firstLine="420" w:firstLineChars="200"/>
        <w:rPr>
          <w:rFonts w:ascii="微软雅黑" w:hAnsi="微软雅黑" w:eastAsia="微软雅黑"/>
          <w:b/>
        </w:rPr>
      </w:pPr>
      <w:r>
        <w:rPr>
          <w:rFonts w:hint="eastAsia" w:ascii="微软雅黑" w:hAnsi="微软雅黑" w:eastAsia="微软雅黑"/>
          <w:b/>
        </w:rPr>
        <w:t>投递邮箱：</w:t>
      </w:r>
      <w:r>
        <w:rPr>
          <w:rFonts w:ascii="微软雅黑" w:hAnsi="微软雅黑" w:eastAsia="微软雅黑"/>
          <w:b/>
        </w:rPr>
        <w:t xml:space="preserve">zhejianghr@gcl-power.com </w:t>
      </w:r>
    </w:p>
    <w:p>
      <w:pPr>
        <w:spacing w:line="500" w:lineRule="exact"/>
        <w:jc w:val="right"/>
        <w:rPr>
          <w:rFonts w:ascii="微软雅黑" w:hAnsi="微软雅黑" w:eastAsia="微软雅黑"/>
          <w:sz w:val="32"/>
          <w:szCs w:val="32"/>
        </w:rPr>
      </w:pPr>
      <w:bookmarkStart w:id="0" w:name="_GoBack"/>
      <w:bookmarkEnd w:id="0"/>
    </w:p>
    <w:p>
      <w:pPr>
        <w:spacing w:line="500" w:lineRule="exact"/>
        <w:jc w:val="right"/>
        <w:rPr>
          <w:rFonts w:ascii="微软雅黑" w:hAnsi="微软雅黑" w:eastAsia="微软雅黑"/>
          <w:sz w:val="32"/>
          <w:szCs w:val="32"/>
        </w:rPr>
      </w:pPr>
    </w:p>
    <w:p>
      <w:pPr>
        <w:spacing w:line="500" w:lineRule="exact"/>
        <w:jc w:val="right"/>
        <w:rPr>
          <w:rFonts w:ascii="微软雅黑" w:hAnsi="微软雅黑" w:eastAsia="微软雅黑"/>
          <w:sz w:val="32"/>
          <w:szCs w:val="32"/>
        </w:rPr>
      </w:pPr>
    </w:p>
    <w:p>
      <w:pPr>
        <w:spacing w:line="500" w:lineRule="exact"/>
        <w:jc w:val="right"/>
        <w:rPr>
          <w:rFonts w:ascii="微软雅黑" w:hAnsi="微软雅黑" w:eastAsia="微软雅黑"/>
          <w:sz w:val="32"/>
          <w:szCs w:val="32"/>
        </w:rPr>
      </w:pPr>
    </w:p>
    <w:p>
      <w:pPr>
        <w:spacing w:line="500" w:lineRule="exact"/>
        <w:jc w:val="right"/>
        <w:rPr>
          <w:rFonts w:ascii="微软雅黑" w:hAnsi="微软雅黑" w:eastAsia="微软雅黑"/>
          <w:sz w:val="32"/>
          <w:szCs w:val="32"/>
        </w:rPr>
      </w:pPr>
    </w:p>
    <w:p>
      <w:pPr>
        <w:spacing w:line="500" w:lineRule="exact"/>
        <w:jc w:val="right"/>
        <w:rPr>
          <w:rFonts w:ascii="微软雅黑" w:hAnsi="微软雅黑" w:eastAsia="微软雅黑"/>
          <w:sz w:val="32"/>
          <w:szCs w:val="32"/>
        </w:rPr>
      </w:pPr>
      <w:r>
        <w:rPr>
          <w:rFonts w:hint="eastAsia" w:ascii="微软雅黑" w:hAnsi="微软雅黑" w:eastAsia="微软雅黑"/>
          <w:sz w:val="32"/>
          <w:szCs w:val="32"/>
        </w:rPr>
        <w:t>协鑫能源科技股份有限公司</w:t>
      </w:r>
    </w:p>
    <w:p>
      <w:pPr>
        <w:spacing w:line="500" w:lineRule="exact"/>
        <w:jc w:val="right"/>
        <w:rPr>
          <w:rFonts w:hint="eastAsia" w:ascii="微软雅黑" w:hAnsi="微软雅黑" w:eastAsia="微软雅黑"/>
          <w:sz w:val="32"/>
          <w:szCs w:val="32"/>
        </w:rPr>
      </w:pPr>
      <w:r>
        <w:rPr>
          <w:rFonts w:hint="eastAsia" w:ascii="微软雅黑" w:hAnsi="微软雅黑" w:eastAsia="微软雅黑"/>
          <w:sz w:val="32"/>
          <w:szCs w:val="32"/>
        </w:rPr>
        <w:t>浙江区域运营中心</w:t>
      </w:r>
    </w:p>
    <w:p>
      <w:r>
        <w:rPr>
          <w:rFonts w:hint="eastAsia"/>
        </w:rPr>
        <w:t xml:space="preserve">                                                   </w:t>
      </w:r>
      <w:r>
        <w:rPr>
          <w:rFonts w:hint="eastAsia" w:ascii="微软雅黑" w:hAnsi="微软雅黑" w:eastAsia="微软雅黑"/>
          <w:sz w:val="32"/>
          <w:szCs w:val="32"/>
        </w:rPr>
        <w:t>202</w:t>
      </w:r>
      <w:r>
        <w:rPr>
          <w:rFonts w:hint="eastAsia" w:ascii="微软雅黑" w:hAnsi="微软雅黑" w:eastAsia="微软雅黑"/>
          <w:sz w:val="32"/>
          <w:szCs w:val="32"/>
          <w:lang w:val="en-US" w:eastAsia="zh-CN"/>
        </w:rPr>
        <w:t>4</w:t>
      </w:r>
      <w:r>
        <w:rPr>
          <w:rFonts w:hint="eastAsia" w:ascii="微软雅黑" w:hAnsi="微软雅黑" w:eastAsia="微软雅黑"/>
          <w:sz w:val="32"/>
          <w:szCs w:val="32"/>
        </w:rPr>
        <w:t>年</w:t>
      </w:r>
      <w:r>
        <w:rPr>
          <w:rFonts w:hint="eastAsia" w:ascii="微软雅黑" w:hAnsi="微软雅黑" w:eastAsia="微软雅黑"/>
          <w:sz w:val="32"/>
          <w:szCs w:val="32"/>
          <w:lang w:val="en-US" w:eastAsia="zh-CN"/>
        </w:rPr>
        <w:t>6</w:t>
      </w:r>
      <w:r>
        <w:rPr>
          <w:rFonts w:hint="eastAsia" w:ascii="微软雅黑" w:hAnsi="微软雅黑" w:eastAsia="微软雅黑"/>
          <w:sz w:val="32"/>
          <w:szCs w:val="32"/>
        </w:rPr>
        <w:t>月</w:t>
      </w:r>
      <w:r>
        <w:rPr>
          <w:rFonts w:hint="eastAsia" w:ascii="微软雅黑" w:hAnsi="微软雅黑" w:eastAsia="微软雅黑"/>
          <w:sz w:val="32"/>
          <w:szCs w:val="32"/>
          <w:lang w:val="en-US" w:eastAsia="zh-CN"/>
        </w:rPr>
        <w:t>4</w:t>
      </w:r>
      <w:r>
        <w:rPr>
          <w:rFonts w:hint="eastAsia" w:ascii="微软雅黑" w:hAnsi="微软雅黑" w:eastAsia="微软雅黑"/>
          <w:sz w:val="32"/>
          <w:szCs w:val="32"/>
        </w:rPr>
        <w:t>日</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tabs>
        <w:tab w:val="center" w:pos="4820"/>
        <w:tab w:val="clear" w:pos="4153"/>
      </w:tabs>
      <w:wordWrap w:val="0"/>
      <w:spacing w:before="120" w:beforeLines="50" w:line="320" w:lineRule="exact"/>
      <w:ind w:left="4217" w:leftChars="2008" w:right="90"/>
      <w:jc w:val="right"/>
      <w:rPr>
        <w:rFonts w:ascii="宋体" w:hAnsi="宋体"/>
        <w:b/>
        <w:color w:val="3374B5"/>
        <w:sz w:val="24"/>
        <w:szCs w:val="24"/>
        <w:lang w:val="zh-CN"/>
      </w:rPr>
    </w:pPr>
    <w:r>
      <w:rPr>
        <w:rFonts w:hint="eastAsia" w:ascii="宋体" w:hAnsi="宋体"/>
        <w:b/>
        <w:color w:val="3374B5"/>
        <w:sz w:val="24"/>
        <w:szCs w:val="24"/>
      </w:rPr>
      <w:drawing>
        <wp:anchor distT="0" distB="0" distL="114300" distR="114300" simplePos="0" relativeHeight="251659264" behindDoc="0" locked="0" layoutInCell="1" allowOverlap="1">
          <wp:simplePos x="0" y="0"/>
          <wp:positionH relativeFrom="margin">
            <wp:align>left</wp:align>
          </wp:positionH>
          <wp:positionV relativeFrom="paragraph">
            <wp:posOffset>-13335</wp:posOffset>
          </wp:positionV>
          <wp:extent cx="1356995" cy="660400"/>
          <wp:effectExtent l="0" t="0" r="0" b="635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56995" cy="660400"/>
                  </a:xfrm>
                  <a:prstGeom prst="rect">
                    <a:avLst/>
                  </a:prstGeom>
                  <a:noFill/>
                  <a:ln>
                    <a:noFill/>
                  </a:ln>
                </pic:spPr>
              </pic:pic>
            </a:graphicData>
          </a:graphic>
        </wp:anchor>
      </w:drawing>
    </w:r>
    <w:r>
      <w:rPr>
        <w:rFonts w:hint="eastAsia" w:ascii="宋体" w:hAnsi="宋体"/>
        <w:b/>
        <w:color w:val="3374B5"/>
        <w:sz w:val="24"/>
        <w:szCs w:val="24"/>
        <w:lang w:val="zh-CN" w:eastAsia="zh-CN"/>
      </w:rPr>
      <w:t>协鑫</w:t>
    </w:r>
    <w:r>
      <w:rPr>
        <w:rFonts w:hint="eastAsia" w:ascii="宋体" w:hAnsi="宋体"/>
        <w:b/>
        <w:color w:val="3374B5"/>
        <w:sz w:val="24"/>
        <w:szCs w:val="24"/>
        <w:lang w:val="zh-CN"/>
      </w:rPr>
      <w:t>能源</w:t>
    </w:r>
    <w:r>
      <w:rPr>
        <w:rFonts w:ascii="宋体" w:hAnsi="宋体"/>
        <w:b/>
        <w:color w:val="3374B5"/>
        <w:sz w:val="24"/>
        <w:szCs w:val="24"/>
        <w:lang w:val="zh-CN"/>
      </w:rPr>
      <w:t>科技股份有限公司</w:t>
    </w:r>
  </w:p>
  <w:p>
    <w:pPr>
      <w:pStyle w:val="8"/>
      <w:pBdr>
        <w:bottom w:val="none" w:color="auto" w:sz="0" w:space="0"/>
      </w:pBdr>
      <w:tabs>
        <w:tab w:val="center" w:pos="4820"/>
        <w:tab w:val="clear" w:pos="4153"/>
      </w:tabs>
      <w:wordWrap/>
      <w:spacing w:before="120" w:beforeLines="50" w:line="320" w:lineRule="exact"/>
      <w:ind w:left="4217" w:leftChars="2008" w:right="90"/>
      <w:jc w:val="right"/>
      <w:rPr>
        <w:rFonts w:hint="default" w:ascii="宋体" w:hAnsi="宋体" w:eastAsiaTheme="minorEastAsia"/>
        <w:b/>
        <w:color w:val="3374B5"/>
        <w:sz w:val="24"/>
        <w:szCs w:val="24"/>
        <w:lang w:val="en-US" w:eastAsia="zh-CN"/>
      </w:rPr>
    </w:pPr>
    <w:r>
      <w:rPr>
        <w:rFonts w:hint="eastAsia" w:ascii="宋体" w:hAnsi="宋体"/>
        <w:b/>
        <w:color w:val="3374B5"/>
        <w:sz w:val="24"/>
        <w:szCs w:val="24"/>
        <w:lang w:val="en-US" w:eastAsia="zh-CN"/>
      </w:rPr>
      <w:t>浙江区域运营中心</w:t>
    </w:r>
  </w:p>
  <w:p>
    <w:pPr>
      <w:pStyle w:val="8"/>
      <w:pBdr>
        <w:bottom w:val="none" w:color="auto" w:sz="0" w:space="0"/>
      </w:pBdr>
      <w:tabs>
        <w:tab w:val="center" w:pos="4820"/>
        <w:tab w:val="clear" w:pos="4153"/>
      </w:tabs>
      <w:spacing w:line="480" w:lineRule="exact"/>
      <w:ind w:left="4217" w:leftChars="2008"/>
      <w:jc w:val="right"/>
      <w:rPr>
        <w:rFonts w:ascii="微软雅黑" w:hAnsi="微软雅黑" w:eastAsia="微软雅黑"/>
        <w:b/>
        <w:color w:val="7AB51D"/>
        <w:sz w:val="16"/>
        <w:szCs w:val="16"/>
      </w:rPr>
    </w:pPr>
    <w:r>
      <w:rPr>
        <w:rFonts w:hint="eastAsia" w:ascii="微软雅黑" w:hAnsi="微软雅黑" w:eastAsia="微软雅黑"/>
        <w:b/>
        <w:color w:val="7AB51D"/>
        <w:sz w:val="16"/>
        <w:szCs w:val="16"/>
      </w:rPr>
      <w:t>Bringing Green Power to life</w:t>
    </w:r>
  </w:p>
  <w:p>
    <w:pPr>
      <w:pStyle w:val="8"/>
      <w:pBdr>
        <w:bottom w:val="none" w:color="auto" w:sz="0" w:space="0"/>
      </w:pBdr>
      <w:tabs>
        <w:tab w:val="center" w:pos="4820"/>
        <w:tab w:val="clear" w:pos="4153"/>
      </w:tabs>
      <w:spacing w:line="480" w:lineRule="exact"/>
      <w:ind w:right="640"/>
      <w:jc w:val="both"/>
      <w:rPr>
        <w:rFonts w:ascii="微软雅黑" w:hAnsi="微软雅黑" w:eastAsia="微软雅黑"/>
        <w:b/>
        <w:color w:val="7AB51D"/>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52F1F"/>
    <w:multiLevelType w:val="multilevel"/>
    <w:tmpl w:val="1C052F1F"/>
    <w:lvl w:ilvl="0" w:tentative="0">
      <w:start w:val="1"/>
      <w:numFmt w:val="bullet"/>
      <w:lvlText w:val="•"/>
      <w:lvlJc w:val="left"/>
      <w:pPr>
        <w:tabs>
          <w:tab w:val="left" w:pos="720"/>
        </w:tabs>
        <w:ind w:left="720" w:hanging="360"/>
      </w:pPr>
      <w:rPr>
        <w:rFonts w:hint="default" w:ascii="Arial" w:hAnsi="Arial"/>
      </w:rPr>
    </w:lvl>
    <w:lvl w:ilvl="1" w:tentative="0">
      <w:start w:val="1"/>
      <w:numFmt w:val="bullet"/>
      <w:lvlText w:val="•"/>
      <w:lvlJc w:val="left"/>
      <w:pPr>
        <w:tabs>
          <w:tab w:val="left" w:pos="1440"/>
        </w:tabs>
        <w:ind w:left="1440" w:hanging="360"/>
      </w:pPr>
      <w:rPr>
        <w:rFonts w:hint="default" w:ascii="Arial" w:hAnsi="Arial"/>
      </w:rPr>
    </w:lvl>
    <w:lvl w:ilvl="2" w:tentative="0">
      <w:start w:val="1"/>
      <w:numFmt w:val="bullet"/>
      <w:lvlText w:val="•"/>
      <w:lvlJc w:val="left"/>
      <w:pPr>
        <w:tabs>
          <w:tab w:val="left" w:pos="2160"/>
        </w:tabs>
        <w:ind w:left="2160" w:hanging="360"/>
      </w:pPr>
      <w:rPr>
        <w:rFonts w:hint="default" w:ascii="Arial" w:hAnsi="Arial"/>
      </w:rPr>
    </w:lvl>
    <w:lvl w:ilvl="3" w:tentative="0">
      <w:start w:val="1"/>
      <w:numFmt w:val="bullet"/>
      <w:lvlText w:val="•"/>
      <w:lvlJc w:val="left"/>
      <w:pPr>
        <w:tabs>
          <w:tab w:val="left" w:pos="2880"/>
        </w:tabs>
        <w:ind w:left="2880" w:hanging="360"/>
      </w:pPr>
      <w:rPr>
        <w:rFonts w:hint="default" w:ascii="Arial" w:hAnsi="Arial"/>
      </w:rPr>
    </w:lvl>
    <w:lvl w:ilvl="4" w:tentative="0">
      <w:start w:val="1"/>
      <w:numFmt w:val="bullet"/>
      <w:lvlText w:val="•"/>
      <w:lvlJc w:val="left"/>
      <w:pPr>
        <w:tabs>
          <w:tab w:val="left" w:pos="3600"/>
        </w:tabs>
        <w:ind w:left="3600" w:hanging="360"/>
      </w:pPr>
      <w:rPr>
        <w:rFonts w:hint="default" w:ascii="Arial" w:hAnsi="Arial"/>
      </w:rPr>
    </w:lvl>
    <w:lvl w:ilvl="5" w:tentative="0">
      <w:start w:val="1"/>
      <w:numFmt w:val="bullet"/>
      <w:lvlText w:val="•"/>
      <w:lvlJc w:val="left"/>
      <w:pPr>
        <w:tabs>
          <w:tab w:val="left" w:pos="4320"/>
        </w:tabs>
        <w:ind w:left="4320" w:hanging="360"/>
      </w:pPr>
      <w:rPr>
        <w:rFonts w:hint="default" w:ascii="Arial" w:hAnsi="Arial"/>
      </w:rPr>
    </w:lvl>
    <w:lvl w:ilvl="6" w:tentative="0">
      <w:start w:val="1"/>
      <w:numFmt w:val="bullet"/>
      <w:lvlText w:val="•"/>
      <w:lvlJc w:val="left"/>
      <w:pPr>
        <w:tabs>
          <w:tab w:val="left" w:pos="5040"/>
        </w:tabs>
        <w:ind w:left="5040" w:hanging="360"/>
      </w:pPr>
      <w:rPr>
        <w:rFonts w:hint="default" w:ascii="Arial" w:hAnsi="Arial"/>
      </w:rPr>
    </w:lvl>
    <w:lvl w:ilvl="7" w:tentative="0">
      <w:start w:val="1"/>
      <w:numFmt w:val="bullet"/>
      <w:lvlText w:val="•"/>
      <w:lvlJc w:val="left"/>
      <w:pPr>
        <w:tabs>
          <w:tab w:val="left" w:pos="5760"/>
        </w:tabs>
        <w:ind w:left="5760" w:hanging="360"/>
      </w:pPr>
      <w:rPr>
        <w:rFonts w:hint="default" w:ascii="Arial" w:hAnsi="Arial"/>
      </w:rPr>
    </w:lvl>
    <w:lvl w:ilvl="8" w:tentative="0">
      <w:start w:val="1"/>
      <w:numFmt w:val="bullet"/>
      <w:lvlText w:val="•"/>
      <w:lvlJc w:val="left"/>
      <w:pPr>
        <w:tabs>
          <w:tab w:val="left" w:pos="6480"/>
        </w:tabs>
        <w:ind w:left="6480" w:hanging="360"/>
      </w:pPr>
      <w:rPr>
        <w:rFonts w:hint="default" w:ascii="Arial" w:hAnsi="Aria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YxMWRkZjE3NmU0N2VhMzJmOGRiNjY0MTE5MGZlNTAifQ=="/>
  </w:docVars>
  <w:rsids>
    <w:rsidRoot w:val="00A20F2D"/>
    <w:rsid w:val="00000033"/>
    <w:rsid w:val="00000DF0"/>
    <w:rsid w:val="00012CE3"/>
    <w:rsid w:val="00015836"/>
    <w:rsid w:val="00030DF4"/>
    <w:rsid w:val="00031008"/>
    <w:rsid w:val="00043813"/>
    <w:rsid w:val="00050E4F"/>
    <w:rsid w:val="00051F73"/>
    <w:rsid w:val="00056F1B"/>
    <w:rsid w:val="00064118"/>
    <w:rsid w:val="000A5F79"/>
    <w:rsid w:val="000B0643"/>
    <w:rsid w:val="000D2494"/>
    <w:rsid w:val="000E0262"/>
    <w:rsid w:val="000E6816"/>
    <w:rsid w:val="000F59FC"/>
    <w:rsid w:val="001216F2"/>
    <w:rsid w:val="00122E41"/>
    <w:rsid w:val="001256CF"/>
    <w:rsid w:val="00131601"/>
    <w:rsid w:val="00131914"/>
    <w:rsid w:val="00136DC3"/>
    <w:rsid w:val="0014646D"/>
    <w:rsid w:val="00151440"/>
    <w:rsid w:val="00164636"/>
    <w:rsid w:val="0016709D"/>
    <w:rsid w:val="00175971"/>
    <w:rsid w:val="001851EF"/>
    <w:rsid w:val="00186332"/>
    <w:rsid w:val="001A3633"/>
    <w:rsid w:val="001B0F1C"/>
    <w:rsid w:val="001B6C17"/>
    <w:rsid w:val="001B7924"/>
    <w:rsid w:val="001C153D"/>
    <w:rsid w:val="001C3FCC"/>
    <w:rsid w:val="001D2A06"/>
    <w:rsid w:val="001E40ED"/>
    <w:rsid w:val="001E7F6A"/>
    <w:rsid w:val="00201656"/>
    <w:rsid w:val="00204ABC"/>
    <w:rsid w:val="00207417"/>
    <w:rsid w:val="00210259"/>
    <w:rsid w:val="00215D10"/>
    <w:rsid w:val="00221385"/>
    <w:rsid w:val="0023141A"/>
    <w:rsid w:val="00240004"/>
    <w:rsid w:val="00253779"/>
    <w:rsid w:val="0027293B"/>
    <w:rsid w:val="00280AD5"/>
    <w:rsid w:val="00285288"/>
    <w:rsid w:val="002904E6"/>
    <w:rsid w:val="00296E1F"/>
    <w:rsid w:val="002C4730"/>
    <w:rsid w:val="002D1A7E"/>
    <w:rsid w:val="002D48DF"/>
    <w:rsid w:val="002F4687"/>
    <w:rsid w:val="00306748"/>
    <w:rsid w:val="00310627"/>
    <w:rsid w:val="00313018"/>
    <w:rsid w:val="0033213B"/>
    <w:rsid w:val="003505B1"/>
    <w:rsid w:val="00350AD4"/>
    <w:rsid w:val="003564E1"/>
    <w:rsid w:val="0036153C"/>
    <w:rsid w:val="003641D4"/>
    <w:rsid w:val="00364F02"/>
    <w:rsid w:val="00370CA9"/>
    <w:rsid w:val="00384C26"/>
    <w:rsid w:val="00396563"/>
    <w:rsid w:val="003B5235"/>
    <w:rsid w:val="003B5EB0"/>
    <w:rsid w:val="003B664D"/>
    <w:rsid w:val="003C0B9D"/>
    <w:rsid w:val="003C4443"/>
    <w:rsid w:val="003C7387"/>
    <w:rsid w:val="003D46CC"/>
    <w:rsid w:val="003D68B0"/>
    <w:rsid w:val="003E1859"/>
    <w:rsid w:val="00451ED0"/>
    <w:rsid w:val="00453E7E"/>
    <w:rsid w:val="00456300"/>
    <w:rsid w:val="00457FA9"/>
    <w:rsid w:val="00462694"/>
    <w:rsid w:val="00490B70"/>
    <w:rsid w:val="00491A84"/>
    <w:rsid w:val="004A166C"/>
    <w:rsid w:val="004A738A"/>
    <w:rsid w:val="004D5332"/>
    <w:rsid w:val="004D5391"/>
    <w:rsid w:val="004E653F"/>
    <w:rsid w:val="004F7196"/>
    <w:rsid w:val="00506D88"/>
    <w:rsid w:val="00512353"/>
    <w:rsid w:val="00516E40"/>
    <w:rsid w:val="0051748E"/>
    <w:rsid w:val="00517FA6"/>
    <w:rsid w:val="00520DCA"/>
    <w:rsid w:val="00521165"/>
    <w:rsid w:val="00523E56"/>
    <w:rsid w:val="0053676D"/>
    <w:rsid w:val="00541317"/>
    <w:rsid w:val="005450AA"/>
    <w:rsid w:val="00571BE6"/>
    <w:rsid w:val="00576566"/>
    <w:rsid w:val="00582C46"/>
    <w:rsid w:val="005845DC"/>
    <w:rsid w:val="00590033"/>
    <w:rsid w:val="00597343"/>
    <w:rsid w:val="005A1332"/>
    <w:rsid w:val="005B297A"/>
    <w:rsid w:val="005B3843"/>
    <w:rsid w:val="005E55BB"/>
    <w:rsid w:val="005E5BD9"/>
    <w:rsid w:val="00604F35"/>
    <w:rsid w:val="00622713"/>
    <w:rsid w:val="00633E59"/>
    <w:rsid w:val="00643B14"/>
    <w:rsid w:val="006530B7"/>
    <w:rsid w:val="00681E47"/>
    <w:rsid w:val="00686021"/>
    <w:rsid w:val="006975B6"/>
    <w:rsid w:val="006B13A6"/>
    <w:rsid w:val="006B40FF"/>
    <w:rsid w:val="006B5F0C"/>
    <w:rsid w:val="006D3E96"/>
    <w:rsid w:val="006D7B30"/>
    <w:rsid w:val="00726F22"/>
    <w:rsid w:val="007270C5"/>
    <w:rsid w:val="00746013"/>
    <w:rsid w:val="007461CC"/>
    <w:rsid w:val="0075030B"/>
    <w:rsid w:val="00767258"/>
    <w:rsid w:val="00767F01"/>
    <w:rsid w:val="00774CBD"/>
    <w:rsid w:val="007776B1"/>
    <w:rsid w:val="0079325B"/>
    <w:rsid w:val="007A6D23"/>
    <w:rsid w:val="007B2EE7"/>
    <w:rsid w:val="007B59DF"/>
    <w:rsid w:val="007B6076"/>
    <w:rsid w:val="007B7423"/>
    <w:rsid w:val="007C5E77"/>
    <w:rsid w:val="007D2173"/>
    <w:rsid w:val="007E40D4"/>
    <w:rsid w:val="00831C48"/>
    <w:rsid w:val="00854B94"/>
    <w:rsid w:val="00866586"/>
    <w:rsid w:val="008736B9"/>
    <w:rsid w:val="008947A9"/>
    <w:rsid w:val="0089663B"/>
    <w:rsid w:val="008A6D68"/>
    <w:rsid w:val="008B364D"/>
    <w:rsid w:val="008B45F2"/>
    <w:rsid w:val="008D5E19"/>
    <w:rsid w:val="008D7202"/>
    <w:rsid w:val="008E5DE3"/>
    <w:rsid w:val="008F05F8"/>
    <w:rsid w:val="008F3DA8"/>
    <w:rsid w:val="008F4F32"/>
    <w:rsid w:val="00905B0B"/>
    <w:rsid w:val="009142A6"/>
    <w:rsid w:val="009174A5"/>
    <w:rsid w:val="009223B5"/>
    <w:rsid w:val="009366FD"/>
    <w:rsid w:val="00936DFC"/>
    <w:rsid w:val="0094726E"/>
    <w:rsid w:val="0097572A"/>
    <w:rsid w:val="00980E32"/>
    <w:rsid w:val="009A13CC"/>
    <w:rsid w:val="009B6C94"/>
    <w:rsid w:val="009C1897"/>
    <w:rsid w:val="009D3CBD"/>
    <w:rsid w:val="009E1FB7"/>
    <w:rsid w:val="00A12D4C"/>
    <w:rsid w:val="00A20F2D"/>
    <w:rsid w:val="00A21120"/>
    <w:rsid w:val="00A35A34"/>
    <w:rsid w:val="00A42971"/>
    <w:rsid w:val="00A43707"/>
    <w:rsid w:val="00A44F8E"/>
    <w:rsid w:val="00A54A48"/>
    <w:rsid w:val="00A54D2E"/>
    <w:rsid w:val="00A63498"/>
    <w:rsid w:val="00A7495A"/>
    <w:rsid w:val="00A9755F"/>
    <w:rsid w:val="00AB24BA"/>
    <w:rsid w:val="00AB79CB"/>
    <w:rsid w:val="00AC24F2"/>
    <w:rsid w:val="00AC5540"/>
    <w:rsid w:val="00AC6E11"/>
    <w:rsid w:val="00AD1A6D"/>
    <w:rsid w:val="00AD4AEE"/>
    <w:rsid w:val="00AF146A"/>
    <w:rsid w:val="00B06781"/>
    <w:rsid w:val="00B16B48"/>
    <w:rsid w:val="00B2420E"/>
    <w:rsid w:val="00B269ED"/>
    <w:rsid w:val="00B43CBD"/>
    <w:rsid w:val="00B61F87"/>
    <w:rsid w:val="00B63752"/>
    <w:rsid w:val="00B738CA"/>
    <w:rsid w:val="00B92E42"/>
    <w:rsid w:val="00BC1DD3"/>
    <w:rsid w:val="00BC2491"/>
    <w:rsid w:val="00BC5B6C"/>
    <w:rsid w:val="00BD0811"/>
    <w:rsid w:val="00BD089A"/>
    <w:rsid w:val="00BD1B0D"/>
    <w:rsid w:val="00BE31A3"/>
    <w:rsid w:val="00C01106"/>
    <w:rsid w:val="00C044F8"/>
    <w:rsid w:val="00C05C94"/>
    <w:rsid w:val="00C13A8E"/>
    <w:rsid w:val="00C2152B"/>
    <w:rsid w:val="00C22E50"/>
    <w:rsid w:val="00C4340A"/>
    <w:rsid w:val="00C46910"/>
    <w:rsid w:val="00C602CC"/>
    <w:rsid w:val="00C64D93"/>
    <w:rsid w:val="00C732F7"/>
    <w:rsid w:val="00C73B51"/>
    <w:rsid w:val="00C76F00"/>
    <w:rsid w:val="00C9284E"/>
    <w:rsid w:val="00C92E2E"/>
    <w:rsid w:val="00CA426D"/>
    <w:rsid w:val="00CA6178"/>
    <w:rsid w:val="00CA6FF2"/>
    <w:rsid w:val="00CA7900"/>
    <w:rsid w:val="00CB1F47"/>
    <w:rsid w:val="00CC34C4"/>
    <w:rsid w:val="00CE67E2"/>
    <w:rsid w:val="00D0602B"/>
    <w:rsid w:val="00D06EA5"/>
    <w:rsid w:val="00D22752"/>
    <w:rsid w:val="00D346F5"/>
    <w:rsid w:val="00D51B31"/>
    <w:rsid w:val="00D859BE"/>
    <w:rsid w:val="00D86708"/>
    <w:rsid w:val="00D92612"/>
    <w:rsid w:val="00DA4B29"/>
    <w:rsid w:val="00DA6859"/>
    <w:rsid w:val="00DB75FC"/>
    <w:rsid w:val="00DC0B89"/>
    <w:rsid w:val="00DD2B17"/>
    <w:rsid w:val="00DD4067"/>
    <w:rsid w:val="00E0240E"/>
    <w:rsid w:val="00E07051"/>
    <w:rsid w:val="00E132DF"/>
    <w:rsid w:val="00E206B8"/>
    <w:rsid w:val="00E35A83"/>
    <w:rsid w:val="00E43311"/>
    <w:rsid w:val="00E459D7"/>
    <w:rsid w:val="00E8271D"/>
    <w:rsid w:val="00E84CAA"/>
    <w:rsid w:val="00E97E95"/>
    <w:rsid w:val="00EB46DA"/>
    <w:rsid w:val="00EB70DF"/>
    <w:rsid w:val="00EC3D9F"/>
    <w:rsid w:val="00EC4483"/>
    <w:rsid w:val="00ED1F28"/>
    <w:rsid w:val="00ED7844"/>
    <w:rsid w:val="00EE06C2"/>
    <w:rsid w:val="00EE333B"/>
    <w:rsid w:val="00EF1E2B"/>
    <w:rsid w:val="00EF6E43"/>
    <w:rsid w:val="00EF78BE"/>
    <w:rsid w:val="00F03F2D"/>
    <w:rsid w:val="00F06C93"/>
    <w:rsid w:val="00F147DA"/>
    <w:rsid w:val="00F16B93"/>
    <w:rsid w:val="00F17E22"/>
    <w:rsid w:val="00F22C7D"/>
    <w:rsid w:val="00F336E0"/>
    <w:rsid w:val="00F364EB"/>
    <w:rsid w:val="00F3700E"/>
    <w:rsid w:val="00F63F05"/>
    <w:rsid w:val="00F6421A"/>
    <w:rsid w:val="00F711E4"/>
    <w:rsid w:val="00F73751"/>
    <w:rsid w:val="00F742A5"/>
    <w:rsid w:val="00F75F23"/>
    <w:rsid w:val="00F75FDB"/>
    <w:rsid w:val="00F95F84"/>
    <w:rsid w:val="00FA7B75"/>
    <w:rsid w:val="00FB0490"/>
    <w:rsid w:val="00FC0FAD"/>
    <w:rsid w:val="00FC17B5"/>
    <w:rsid w:val="00FE3FF1"/>
    <w:rsid w:val="00FE5BD1"/>
    <w:rsid w:val="014F728B"/>
    <w:rsid w:val="167A1E53"/>
    <w:rsid w:val="19734225"/>
    <w:rsid w:val="495A7A39"/>
    <w:rsid w:val="568D0F86"/>
    <w:rsid w:val="61165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6"/>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3"/>
    <w:semiHidden/>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5">
    <w:name w:val="annotation text"/>
    <w:basedOn w:val="1"/>
    <w:link w:val="20"/>
    <w:semiHidden/>
    <w:unhideWhenUsed/>
    <w:qFormat/>
    <w:uiPriority w:val="99"/>
    <w:pPr>
      <w:jc w:val="left"/>
    </w:pPr>
  </w:style>
  <w:style w:type="paragraph" w:styleId="6">
    <w:name w:val="Balloon Text"/>
    <w:basedOn w:val="1"/>
    <w:link w:val="22"/>
    <w:semiHidden/>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annotation subject"/>
    <w:basedOn w:val="5"/>
    <w:next w:val="5"/>
    <w:link w:val="21"/>
    <w:semiHidden/>
    <w:unhideWhenUsed/>
    <w:qFormat/>
    <w:uiPriority w:val="99"/>
    <w:rPr>
      <w:b/>
      <w:bCs/>
    </w:rPr>
  </w:style>
  <w:style w:type="table" w:styleId="12">
    <w:name w:val="Table Grid"/>
    <w:basedOn w:val="11"/>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Strong"/>
    <w:basedOn w:val="13"/>
    <w:qFormat/>
    <w:uiPriority w:val="22"/>
    <w:rPr>
      <w:b/>
      <w:bCs/>
    </w:rPr>
  </w:style>
  <w:style w:type="character" w:styleId="15">
    <w:name w:val="Hyperlink"/>
    <w:basedOn w:val="13"/>
    <w:unhideWhenUsed/>
    <w:qFormat/>
    <w:uiPriority w:val="99"/>
    <w:rPr>
      <w:color w:val="0000FF"/>
      <w:u w:val="single"/>
    </w:rPr>
  </w:style>
  <w:style w:type="character" w:styleId="16">
    <w:name w:val="annotation reference"/>
    <w:basedOn w:val="13"/>
    <w:semiHidden/>
    <w:unhideWhenUsed/>
    <w:qFormat/>
    <w:uiPriority w:val="99"/>
    <w:rPr>
      <w:sz w:val="21"/>
      <w:szCs w:val="21"/>
    </w:rPr>
  </w:style>
  <w:style w:type="character" w:customStyle="1" w:styleId="17">
    <w:name w:val="标题 1 字符"/>
    <w:basedOn w:val="13"/>
    <w:link w:val="2"/>
    <w:qFormat/>
    <w:uiPriority w:val="9"/>
    <w:rPr>
      <w:rFonts w:ascii="宋体" w:hAnsi="宋体" w:eastAsia="宋体" w:cs="宋体"/>
      <w:b/>
      <w:bCs/>
      <w:kern w:val="36"/>
      <w:sz w:val="48"/>
      <w:szCs w:val="48"/>
    </w:rPr>
  </w:style>
  <w:style w:type="character" w:customStyle="1" w:styleId="18">
    <w:name w:val="页眉 字符"/>
    <w:basedOn w:val="13"/>
    <w:link w:val="8"/>
    <w:qFormat/>
    <w:uiPriority w:val="99"/>
    <w:rPr>
      <w:sz w:val="18"/>
      <w:szCs w:val="18"/>
    </w:rPr>
  </w:style>
  <w:style w:type="character" w:customStyle="1" w:styleId="19">
    <w:name w:val="页脚 字符"/>
    <w:basedOn w:val="13"/>
    <w:link w:val="7"/>
    <w:qFormat/>
    <w:uiPriority w:val="99"/>
    <w:rPr>
      <w:sz w:val="18"/>
      <w:szCs w:val="18"/>
    </w:rPr>
  </w:style>
  <w:style w:type="character" w:customStyle="1" w:styleId="20">
    <w:name w:val="批注文字 字符"/>
    <w:basedOn w:val="13"/>
    <w:link w:val="5"/>
    <w:semiHidden/>
    <w:qFormat/>
    <w:uiPriority w:val="99"/>
  </w:style>
  <w:style w:type="character" w:customStyle="1" w:styleId="21">
    <w:name w:val="批注主题 字符"/>
    <w:basedOn w:val="20"/>
    <w:link w:val="10"/>
    <w:semiHidden/>
    <w:qFormat/>
    <w:uiPriority w:val="99"/>
    <w:rPr>
      <w:b/>
      <w:bCs/>
    </w:rPr>
  </w:style>
  <w:style w:type="character" w:customStyle="1" w:styleId="22">
    <w:name w:val="批注框文本 字符"/>
    <w:basedOn w:val="13"/>
    <w:link w:val="6"/>
    <w:semiHidden/>
    <w:qFormat/>
    <w:uiPriority w:val="99"/>
    <w:rPr>
      <w:sz w:val="18"/>
      <w:szCs w:val="18"/>
    </w:rPr>
  </w:style>
  <w:style w:type="character" w:customStyle="1" w:styleId="23">
    <w:name w:val="标题 3 字符"/>
    <w:basedOn w:val="13"/>
    <w:link w:val="4"/>
    <w:semiHidden/>
    <w:qFormat/>
    <w:uiPriority w:val="9"/>
    <w:rPr>
      <w:b/>
      <w:bCs/>
      <w:sz w:val="32"/>
      <w:szCs w:val="32"/>
    </w:rPr>
  </w:style>
  <w:style w:type="character" w:customStyle="1" w:styleId="24">
    <w:name w:val="basic-word"/>
    <w:basedOn w:val="13"/>
    <w:qFormat/>
    <w:uiPriority w:val="0"/>
  </w:style>
  <w:style w:type="paragraph" w:styleId="25">
    <w:name w:val="List Paragraph"/>
    <w:basedOn w:val="1"/>
    <w:qFormat/>
    <w:uiPriority w:val="34"/>
    <w:pPr>
      <w:ind w:firstLine="420" w:firstLineChars="200"/>
    </w:pPr>
  </w:style>
  <w:style w:type="character" w:customStyle="1" w:styleId="26">
    <w:name w:val="标题 2 字符"/>
    <w:basedOn w:val="13"/>
    <w:link w:val="3"/>
    <w:semiHidden/>
    <w:qFormat/>
    <w:uiPriority w:val="9"/>
    <w:rPr>
      <w:rFonts w:asciiTheme="majorHAnsi" w:hAnsiTheme="majorHAnsi" w:eastAsiaTheme="majorEastAsia" w:cstheme="majorBidi"/>
      <w:b/>
      <w:bCs/>
      <w:sz w:val="32"/>
      <w:szCs w:val="32"/>
    </w:rPr>
  </w:style>
  <w:style w:type="character" w:customStyle="1" w:styleId="27">
    <w:name w:val="Unresolved Mention"/>
    <w:basedOn w:val="1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95D0EE-3829-443E-ADC9-D1001723ADD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175</Words>
  <Characters>1004</Characters>
  <Lines>8</Lines>
  <Paragraphs>2</Paragraphs>
  <TotalTime>4</TotalTime>
  <ScaleCrop>false</ScaleCrop>
  <LinksUpToDate>false</LinksUpToDate>
  <CharactersWithSpaces>1177</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2023-10-30T04:23:00Z</dcterms:created>
  <dc:creator>kong chenyun 孔晨赟</dc:creator>
  <cp:lastModifiedBy>1</cp:lastModifiedBy>
  <cp:lastPrinted>2018-04-08T06:15:00Z</cp:lastPrinted>
  <dcterms:modified xsi:type="dcterms:W3CDTF">2024-06-05T00:05:31Z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64BCE9BCF1354C2888747719FF05ED2D_13</vt:lpwstr>
  </property>
</Properties>
</file>