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rPr>
      </w:pPr>
      <w:r>
        <w:rPr>
          <w:rFonts w:hint="eastAsia"/>
        </w:rPr>
        <w:t>特变电工（衡阳）变压器有限公司</w:t>
      </w:r>
      <w:bookmarkStart w:id="0" w:name="_GoBack"/>
      <w:bookmarkEnd w:id="0"/>
    </w:p>
    <w:p>
      <w:pPr>
        <w:pStyle w:val="2"/>
        <w:bidi w:val="0"/>
        <w:jc w:val="center"/>
        <w:rPr>
          <w:rFonts w:hint="eastAsia"/>
          <w:lang w:val="en-US" w:eastAsia="zh-CN"/>
        </w:rPr>
      </w:pPr>
      <w:r>
        <w:rPr>
          <w:rFonts w:hint="eastAsia"/>
          <w:lang w:val="en-US" w:eastAsia="zh-CN"/>
        </w:rPr>
        <w:t>招聘简章</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仿宋_GB2312" w:hAnsi="宋体" w:eastAsia="仿宋_GB2312"/>
          <w:b/>
          <w:sz w:val="30"/>
          <w:lang w:val="en-US" w:eastAsia="zh-CN"/>
        </w:rPr>
      </w:pPr>
      <w:r>
        <w:rPr>
          <w:rFonts w:hint="eastAsia" w:ascii="仿宋_GB2312" w:hAnsi="宋体" w:eastAsia="仿宋_GB2312"/>
          <w:b/>
          <w:sz w:val="30"/>
          <w:lang w:val="en-US" w:eastAsia="zh-CN"/>
        </w:rPr>
        <w:t>公司简介：</w:t>
      </w:r>
    </w:p>
    <w:p>
      <w:pPr>
        <w:keepNext w:val="0"/>
        <w:keepLines w:val="0"/>
        <w:pageBreakBefore w:val="0"/>
        <w:widowControl w:val="0"/>
        <w:kinsoku/>
        <w:wordWrap/>
        <w:overflowPunct/>
        <w:topLinePunct w:val="0"/>
        <w:autoSpaceDE/>
        <w:autoSpaceDN/>
        <w:bidi w:val="0"/>
        <w:adjustRightInd/>
        <w:snapToGrid/>
        <w:spacing w:line="420" w:lineRule="exact"/>
        <w:ind w:firstLine="562" w:firstLineChars="200"/>
        <w:textAlignment w:val="auto"/>
        <w:rPr>
          <w:rFonts w:ascii="仿宋_GB2312" w:hAnsi="宋体" w:eastAsia="仿宋_GB2312"/>
          <w:sz w:val="24"/>
        </w:rPr>
      </w:pPr>
      <w:r>
        <w:rPr>
          <w:rFonts w:hint="eastAsia" w:ascii="仿宋_GB2312" w:hAnsi="宋体" w:eastAsia="仿宋_GB2312"/>
          <w:b/>
          <w:bCs/>
          <w:sz w:val="28"/>
          <w:szCs w:val="21"/>
        </w:rPr>
        <w:t>特变电工</w:t>
      </w:r>
      <w:r>
        <w:rPr>
          <w:rFonts w:hint="eastAsia" w:ascii="仿宋_GB2312" w:hAnsi="宋体" w:eastAsia="仿宋_GB2312"/>
          <w:sz w:val="24"/>
        </w:rPr>
        <w:t>是为全球能源事业提供系统解决方案的服务商，是国家级高新技术企业和中国大型能源装备制造企业，由全球24个国家2万余名员工组成，培育了以能源为基础，“输变电高端制造、新能源、新材料”一高两新国家三大战略性新兴产业，拥有特变电工（股票代码.600089）、新疆众和（股票代码.600888）和新特能源（HK.1799）三家大型上市公司。</w:t>
      </w:r>
      <w:r>
        <w:rPr>
          <w:rFonts w:hint="eastAsia" w:ascii="仿宋_GB2312" w:hAnsi="宋体" w:eastAsia="仿宋_GB2312"/>
          <w:sz w:val="24"/>
          <w:lang w:val="en-US" w:eastAsia="zh-CN"/>
        </w:rPr>
        <w:t>2022年集团营收1182亿元，位列</w:t>
      </w:r>
      <w:r>
        <w:rPr>
          <w:rFonts w:hint="eastAsia" w:ascii="仿宋_GB2312" w:hAnsi="宋体" w:eastAsia="仿宋_GB2312"/>
          <w:sz w:val="24"/>
        </w:rPr>
        <w:t>中国企业500强第2</w:t>
      </w:r>
      <w:r>
        <w:rPr>
          <w:rFonts w:hint="eastAsia" w:ascii="仿宋_GB2312" w:hAnsi="宋体" w:eastAsia="仿宋_GB2312"/>
          <w:sz w:val="24"/>
          <w:lang w:val="en-US" w:eastAsia="zh-CN"/>
        </w:rPr>
        <w:t>10</w:t>
      </w:r>
      <w:r>
        <w:rPr>
          <w:rFonts w:hint="eastAsia" w:ascii="仿宋_GB2312" w:hAnsi="宋体" w:eastAsia="仿宋_GB2312"/>
          <w:sz w:val="24"/>
        </w:rPr>
        <w:t>位、</w:t>
      </w:r>
      <w:r>
        <w:rPr>
          <w:rFonts w:hint="eastAsia" w:ascii="仿宋_GB2312" w:hAnsi="宋体" w:eastAsia="仿宋_GB2312"/>
          <w:sz w:val="24"/>
          <w:lang w:val="en-US" w:eastAsia="zh-CN"/>
        </w:rPr>
        <w:t>制造业500强第121位，</w:t>
      </w:r>
      <w:r>
        <w:rPr>
          <w:rFonts w:hint="eastAsia" w:ascii="仿宋_GB2312" w:hAnsi="宋体" w:eastAsia="仿宋_GB2312"/>
          <w:sz w:val="24"/>
        </w:rPr>
        <w:t>ENR国际总承包商全球排名第</w:t>
      </w:r>
      <w:r>
        <w:rPr>
          <w:rFonts w:hint="eastAsia" w:ascii="仿宋_GB2312" w:hAnsi="宋体" w:eastAsia="仿宋_GB2312"/>
          <w:sz w:val="24"/>
          <w:lang w:val="en-US" w:eastAsia="zh-CN"/>
        </w:rPr>
        <w:t>79</w:t>
      </w:r>
      <w:r>
        <w:rPr>
          <w:rFonts w:hint="eastAsia" w:ascii="仿宋_GB2312" w:hAnsi="宋体" w:eastAsia="仿宋_GB2312"/>
          <w:sz w:val="24"/>
        </w:rPr>
        <w:t>位。</w:t>
      </w:r>
    </w:p>
    <w:p>
      <w:pPr>
        <w:keepNext w:val="0"/>
        <w:keepLines w:val="0"/>
        <w:pageBreakBefore w:val="0"/>
        <w:widowControl w:val="0"/>
        <w:kinsoku/>
        <w:wordWrap/>
        <w:overflowPunct/>
        <w:topLinePunct w:val="0"/>
        <w:autoSpaceDE/>
        <w:autoSpaceDN/>
        <w:bidi w:val="0"/>
        <w:adjustRightInd/>
        <w:snapToGrid/>
        <w:spacing w:line="420" w:lineRule="exact"/>
        <w:ind w:firstLine="562" w:firstLineChars="200"/>
        <w:textAlignment w:val="auto"/>
        <w:rPr>
          <w:rFonts w:ascii="仿宋_GB2312" w:hAnsi="宋体" w:eastAsia="仿宋_GB2312"/>
          <w:sz w:val="24"/>
        </w:rPr>
      </w:pPr>
      <w:r>
        <w:rPr>
          <w:rFonts w:hint="eastAsia" w:ascii="仿宋_GB2312" w:hAnsi="宋体" w:eastAsia="仿宋_GB2312"/>
          <w:b/>
          <w:bCs/>
          <w:sz w:val="28"/>
          <w:szCs w:val="21"/>
        </w:rPr>
        <w:t>特变电工衡阳变压器有限公司</w:t>
      </w:r>
      <w:r>
        <w:rPr>
          <w:rFonts w:hint="eastAsia" w:ascii="仿宋_GB2312" w:hAnsi="宋体" w:eastAsia="仿宋_GB2312"/>
          <w:sz w:val="24"/>
        </w:rPr>
        <w:t>（特变电工南方输变电产业集团）是特变电工的全资子公司，始建于1951年，现已发展成为我国战略性新兴产业“高端装备制造”“智能装备制造”的重要承担者，中国输变电行业超、特高压、大容量变压器类产品的核心骨干企业，世界大型特高压产品的研制和出口基地。公司下设湖南工程、湖南电气、南京公司、云集电气、云集高压开关、科技物流、艾特新能源</w:t>
      </w:r>
      <w:r>
        <w:rPr>
          <w:rFonts w:hint="eastAsia" w:ascii="仿宋_GB2312" w:hAnsi="宋体" w:eastAsia="仿宋_GB2312"/>
          <w:sz w:val="24"/>
          <w:lang w:eastAsia="zh-CN"/>
        </w:rPr>
        <w:t>、</w:t>
      </w:r>
      <w:r>
        <w:rPr>
          <w:rFonts w:hint="eastAsia" w:ascii="仿宋_GB2312" w:hAnsi="宋体" w:eastAsia="仿宋_GB2312"/>
          <w:sz w:val="24"/>
          <w:lang w:val="en-US" w:eastAsia="zh-CN"/>
        </w:rPr>
        <w:t>昌吉自控</w:t>
      </w:r>
      <w:r>
        <w:rPr>
          <w:rFonts w:hint="eastAsia" w:ascii="仿宋_GB2312" w:hAnsi="宋体" w:eastAsia="仿宋_GB2312"/>
          <w:sz w:val="24"/>
        </w:rPr>
        <w:t>等</w:t>
      </w:r>
      <w:r>
        <w:rPr>
          <w:rFonts w:hint="eastAsia" w:ascii="仿宋_GB2312" w:hAnsi="宋体" w:eastAsia="仿宋_GB2312"/>
          <w:sz w:val="24"/>
          <w:lang w:val="en-US" w:eastAsia="zh-CN"/>
        </w:rPr>
        <w:t>八</w:t>
      </w:r>
      <w:r>
        <w:rPr>
          <w:rFonts w:hint="eastAsia" w:ascii="仿宋_GB2312" w:hAnsi="宋体" w:eastAsia="仿宋_GB2312"/>
          <w:sz w:val="24"/>
        </w:rPr>
        <w:t>大子分公司，集团拥有完善的输变电全产业链，产品涵盖了全电压等级的变压器；GIS 及隔离开关、断路器等全系列高压开关；高低压开关柜；一二次融合柱上开关；配网自动化；综合自动化保护等全系列产品。围绕“一特四大”国家能源战略发展方向，集团产品广泛服务于我国特高压交直流输电、大水电、大煤电、大核电、大型可再生能源发电基地建设以及太阳能、风能、铁路、石油石化、抽水蓄能等领域。先后承担了世界首条 1000kV 特高压交流试验示范工程、±800kV 特高压直流输电工程、80 万 kW大型水电、100 万 kW 大型核电、100 万 kW 超临界及超超临界大型火电等一系列国家重大能源项目和重点科技攻关研制任务。全面参与了“西电东送”、“皖电东送”、“青藏联网”、“疆电外送”、“三峡工程”等多个国家战略性特高压工程建设和国家重大能源项目。</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仿宋_GB2312" w:hAnsi="宋体" w:eastAsia="仿宋_GB2312"/>
          <w:sz w:val="24"/>
        </w:rPr>
      </w:pPr>
      <w:r>
        <w:rPr>
          <w:rFonts w:hint="eastAsia" w:ascii="仿宋_GB2312" w:hAnsi="宋体" w:eastAsia="仿宋_GB2312"/>
          <w:sz w:val="24"/>
        </w:rPr>
        <w:t>集团建有国家企业技术中心、国家CNAS试验室、湖南省工程技术研究中心、湖南省工程实验室等一流科研创新平台。集团在全球设立了 30 余个办事处，为 60 余个国家和地区提供绿色科技、智能环保、可靠高效的能源装备，积极参与“一带一路”沿线国家的电网规划和成套项目总承包，先后承担塔吉克斯坦国家南北电力通道、中亚电力大动脉、非洲电力空中高速公路、印度国家电网改造等多国电力基础设施建设，实现产品、技术、品牌、标准的全面输出！</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仿宋_GB2312" w:hAnsi="宋体" w:eastAsia="仿宋_GB2312"/>
          <w:sz w:val="24"/>
        </w:rPr>
      </w:pPr>
      <w:r>
        <w:rPr>
          <w:rFonts w:hint="eastAsia" w:ascii="仿宋_GB2312" w:hAnsi="宋体" w:eastAsia="仿宋_GB2312"/>
          <w:sz w:val="24"/>
        </w:rPr>
        <w:t>集团坚持科技自主创新，先后获得“国家科技进步特等奖”1项，“国家科技进步一等奖”2项，“中国机械工业科技进步特等奖”2 项。完成国家级新产品鉴定 113 种，累计申请专利及软件著作权 603项，有效推动高端输变电重大装备的国产化进程。</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仿宋_GB2312" w:hAnsi="宋体" w:eastAsia="仿宋_GB2312"/>
          <w:sz w:val="24"/>
          <w:lang w:eastAsia="zh-CN"/>
        </w:rPr>
      </w:pPr>
      <w:r>
        <w:rPr>
          <w:rFonts w:hint="eastAsia" w:ascii="仿宋_GB2312" w:hAnsi="宋体" w:eastAsia="仿宋_GB2312"/>
          <w:sz w:val="24"/>
        </w:rPr>
        <w:t>集团以制造业为主体，充分发挥输变电领域集成优势，新投资30亿元建设</w:t>
      </w:r>
      <w:r>
        <w:rPr>
          <w:rFonts w:hint="eastAsia" w:ascii="仿宋_GB2312" w:hAnsi="宋体" w:eastAsia="仿宋_GB2312"/>
          <w:b/>
          <w:bCs/>
          <w:sz w:val="24"/>
        </w:rPr>
        <w:t>特变电工云集5G科技产业园</w:t>
      </w:r>
      <w:r>
        <w:rPr>
          <w:rFonts w:hint="eastAsia" w:ascii="仿宋_GB2312" w:hAnsi="宋体" w:eastAsia="仿宋_GB2312"/>
          <w:sz w:val="24"/>
        </w:rPr>
        <w:t>（位于南岳机场对面），依托“互联网 +”人工智能、工业 4.0 技术、5G 通信技术，打造出集智能感知、数据采集、集成分析为一体的智能工厂，实现产品研发制造的数字化升级。</w:t>
      </w:r>
      <w:r>
        <w:rPr>
          <w:rFonts w:hint="eastAsia" w:ascii="仿宋_GB2312" w:hAnsi="宋体" w:eastAsia="仿宋_GB2312"/>
          <w:b/>
          <w:bCs/>
          <w:sz w:val="24"/>
        </w:rPr>
        <w:t>“基于5G全连接的输配电智慧工厂”项目上榜国家工业和信息化部“2021年工业互联网试点示范项目”。</w:t>
      </w:r>
      <w:r>
        <w:rPr>
          <w:rFonts w:hint="eastAsia" w:ascii="仿宋_GB2312" w:hAnsi="宋体" w:eastAsia="仿宋_GB2312"/>
          <w:sz w:val="24"/>
        </w:rPr>
        <w:t>集团正稳步推进以制造业产业链为主体，以国内制造服务业、国际制造服务业为两翼的“一体两翼”发展战略，充分发挥输变电领域集成优势，打造具有国际竞争力和品牌影响力的双百亿高新技术企业集团</w:t>
      </w:r>
      <w:r>
        <w:rPr>
          <w:rFonts w:hint="eastAsia" w:ascii="仿宋_GB2312" w:hAnsi="宋体" w:eastAsia="仿宋_GB2312"/>
          <w:sz w:val="24"/>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仿宋_GB2312" w:hAnsi="宋体" w:eastAsia="仿宋_GB2312"/>
          <w:sz w:val="24"/>
          <w:lang w:val="en-US" w:eastAsia="zh-CN"/>
        </w:rPr>
      </w:pPr>
      <w:r>
        <w:rPr>
          <w:rFonts w:hint="eastAsia" w:ascii="仿宋_GB2312" w:hAnsi="宋体" w:eastAsia="仿宋_GB2312"/>
          <w:sz w:val="24"/>
          <w:lang w:val="en-US" w:eastAsia="zh-CN"/>
        </w:rPr>
        <w:t>公司响应国家“</w:t>
      </w:r>
      <w:r>
        <w:rPr>
          <w:rFonts w:hint="eastAsia" w:ascii="仿宋_GB2312" w:hAnsi="仿宋_GB2312" w:eastAsia="仿宋_GB2312" w:cs="仿宋_GB2312"/>
          <w:i w:val="0"/>
          <w:iCs w:val="0"/>
          <w:caps w:val="0"/>
          <w:color w:val="000000"/>
          <w:spacing w:val="0"/>
          <w:sz w:val="24"/>
          <w:szCs w:val="24"/>
          <w:shd w:val="clear" w:fill="FFFFFF"/>
        </w:rPr>
        <w:t>提高技术技能水平，推动高质量发展、实施制造强国战略</w:t>
      </w:r>
      <w:r>
        <w:rPr>
          <w:rFonts w:hint="eastAsia" w:ascii="仿宋_GB2312" w:hAnsi="宋体" w:eastAsia="仿宋_GB2312"/>
          <w:sz w:val="24"/>
          <w:lang w:val="en-US" w:eastAsia="zh-CN"/>
        </w:rPr>
        <w:t>”方针，开展产教融合、校企合作计划，建立建设企业培训学院、科研培训中心，打造超特高压输变电技术技能人才培养实践实训基地。</w:t>
      </w:r>
    </w:p>
    <w:p>
      <w:pPr>
        <w:spacing w:line="360" w:lineRule="exact"/>
        <w:jc w:val="center"/>
        <w:rPr>
          <w:rFonts w:ascii="仿宋_GB2312" w:eastAsia="仿宋_GB2312"/>
          <w:b/>
          <w:sz w:val="32"/>
          <w:szCs w:val="32"/>
        </w:rPr>
      </w:pPr>
    </w:p>
    <w:p>
      <w:pPr>
        <w:keepNext w:val="0"/>
        <w:keepLines w:val="0"/>
        <w:pageBreakBefore w:val="0"/>
        <w:numPr>
          <w:ilvl w:val="0"/>
          <w:numId w:val="1"/>
        </w:numPr>
        <w:kinsoku/>
        <w:wordWrap/>
        <w:overflowPunct/>
        <w:topLinePunct w:val="0"/>
        <w:autoSpaceDE/>
        <w:autoSpaceDN/>
        <w:bidi w:val="0"/>
        <w:adjustRightInd/>
        <w:snapToGrid/>
        <w:spacing w:line="380" w:lineRule="exact"/>
        <w:textAlignment w:val="auto"/>
        <w:rPr>
          <w:rFonts w:ascii="楷体" w:hAnsi="楷体" w:eastAsia="楷体" w:cs="楷体"/>
          <w:b w:val="0"/>
          <w:bCs w:val="0"/>
          <w:kern w:val="0"/>
          <w:sz w:val="24"/>
          <w:szCs w:val="24"/>
        </w:rPr>
      </w:pPr>
      <w:r>
        <w:rPr>
          <w:rFonts w:hint="eastAsia" w:ascii="楷体" w:hAnsi="楷体" w:eastAsia="楷体" w:cs="楷体"/>
          <w:b w:val="0"/>
          <w:bCs w:val="0"/>
          <w:kern w:val="0"/>
          <w:sz w:val="24"/>
          <w:szCs w:val="24"/>
          <w:lang w:val="en-US" w:eastAsia="zh-CN"/>
        </w:rPr>
        <w:t>实习实训</w:t>
      </w:r>
      <w:r>
        <w:rPr>
          <w:rFonts w:hint="eastAsia" w:ascii="楷体" w:hAnsi="楷体" w:eastAsia="楷体" w:cs="楷体"/>
          <w:b w:val="0"/>
          <w:bCs w:val="0"/>
          <w:kern w:val="0"/>
          <w:sz w:val="24"/>
          <w:szCs w:val="24"/>
        </w:rPr>
        <w:t>地点：</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ascii="楷体" w:hAnsi="楷体" w:eastAsia="楷体" w:cs="楷体"/>
          <w:kern w:val="0"/>
          <w:sz w:val="24"/>
          <w:szCs w:val="24"/>
        </w:rPr>
      </w:pPr>
      <w:r>
        <w:rPr>
          <w:rFonts w:hint="eastAsia" w:ascii="楷体" w:hAnsi="楷体" w:eastAsia="楷体" w:cs="楷体"/>
          <w:kern w:val="0"/>
          <w:sz w:val="24"/>
          <w:szCs w:val="24"/>
        </w:rPr>
        <w:t>湖南省衡阳市、江苏省南京市、上海市。</w:t>
      </w:r>
    </w:p>
    <w:p>
      <w:pPr>
        <w:keepNext w:val="0"/>
        <w:keepLines w:val="0"/>
        <w:pageBreakBefore w:val="0"/>
        <w:numPr>
          <w:ilvl w:val="0"/>
          <w:numId w:val="1"/>
        </w:numPr>
        <w:kinsoku/>
        <w:wordWrap/>
        <w:overflowPunct/>
        <w:topLinePunct w:val="0"/>
        <w:autoSpaceDE/>
        <w:autoSpaceDN/>
        <w:bidi w:val="0"/>
        <w:adjustRightInd/>
        <w:snapToGrid/>
        <w:spacing w:line="380" w:lineRule="exact"/>
        <w:textAlignment w:val="auto"/>
        <w:rPr>
          <w:rFonts w:ascii="楷体" w:hAnsi="楷体" w:eastAsia="楷体" w:cs="楷体"/>
          <w:b w:val="0"/>
          <w:bCs w:val="0"/>
          <w:color w:val="000000"/>
          <w:sz w:val="24"/>
          <w:szCs w:val="24"/>
        </w:rPr>
      </w:pPr>
      <w:r>
        <w:rPr>
          <w:rFonts w:hint="eastAsia" w:ascii="楷体" w:hAnsi="楷体" w:eastAsia="楷体" w:cs="楷体"/>
          <w:b w:val="0"/>
          <w:bCs w:val="0"/>
          <w:color w:val="000000"/>
          <w:sz w:val="24"/>
          <w:szCs w:val="24"/>
        </w:rPr>
        <w:t>专业：</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ascii="楷体" w:hAnsi="楷体" w:eastAsia="楷体" w:cs="楷体"/>
          <w:color w:val="000000"/>
          <w:sz w:val="24"/>
          <w:szCs w:val="24"/>
        </w:rPr>
      </w:pPr>
      <w:r>
        <w:rPr>
          <w:rFonts w:hint="eastAsia" w:ascii="楷体" w:hAnsi="楷体" w:eastAsia="楷体" w:cs="楷体"/>
          <w:color w:val="000000"/>
          <w:sz w:val="24"/>
          <w:szCs w:val="24"/>
        </w:rPr>
        <w:t>电气、自动化、计算机相关专业应届实习生。</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楷体" w:hAnsi="楷体" w:eastAsia="楷体" w:cs="楷体"/>
          <w:color w:val="000000"/>
          <w:sz w:val="24"/>
          <w:szCs w:val="24"/>
        </w:rPr>
      </w:pPr>
      <w:r>
        <w:rPr>
          <w:rFonts w:hint="eastAsia" w:ascii="楷体" w:hAnsi="楷体" w:eastAsia="楷体" w:cs="楷体"/>
          <w:kern w:val="0"/>
          <w:sz w:val="24"/>
          <w:szCs w:val="24"/>
        </w:rPr>
        <w:t>三、大专、</w:t>
      </w:r>
      <w:r>
        <w:rPr>
          <w:rFonts w:hint="eastAsia" w:ascii="楷体" w:hAnsi="楷体" w:eastAsia="楷体" w:cs="楷体"/>
          <w:color w:val="000000"/>
          <w:sz w:val="24"/>
          <w:szCs w:val="24"/>
        </w:rPr>
        <w:t>高职前三个月津贴3000元/月，第四月起可独立操作</w:t>
      </w:r>
      <w:r>
        <w:rPr>
          <w:rFonts w:hint="eastAsia" w:ascii="楷体" w:hAnsi="楷体" w:eastAsia="楷体" w:cs="楷体"/>
          <w:sz w:val="24"/>
          <w:szCs w:val="24"/>
        </w:rPr>
        <w:t>的</w:t>
      </w:r>
      <w:r>
        <w:rPr>
          <w:rFonts w:hint="eastAsia" w:ascii="楷体" w:hAnsi="楷体" w:eastAsia="楷体" w:cs="楷体"/>
          <w:color w:val="000000"/>
          <w:sz w:val="24"/>
          <w:szCs w:val="24"/>
        </w:rPr>
        <w:t>同岗同酬，实习期满获取毕业证</w:t>
      </w:r>
      <w:r>
        <w:rPr>
          <w:rFonts w:hint="eastAsia" w:ascii="楷体" w:hAnsi="楷体" w:eastAsia="楷体" w:cs="楷体"/>
          <w:color w:val="000000"/>
          <w:sz w:val="24"/>
          <w:szCs w:val="24"/>
          <w:lang w:val="en-US" w:eastAsia="zh-CN"/>
        </w:rPr>
        <w:t>后经</w:t>
      </w:r>
      <w:r>
        <w:rPr>
          <w:rFonts w:hint="eastAsia" w:ascii="楷体" w:hAnsi="楷体" w:eastAsia="楷体" w:cs="楷体"/>
          <w:color w:val="000000"/>
          <w:sz w:val="24"/>
          <w:szCs w:val="24"/>
        </w:rPr>
        <w:t>考核合格</w:t>
      </w:r>
      <w:r>
        <w:rPr>
          <w:rFonts w:hint="eastAsia" w:ascii="楷体" w:hAnsi="楷体" w:eastAsia="楷体" w:cs="楷体"/>
          <w:color w:val="000000"/>
          <w:sz w:val="24"/>
          <w:szCs w:val="24"/>
          <w:lang w:eastAsia="zh-CN"/>
        </w:rPr>
        <w:t>、</w:t>
      </w:r>
      <w:r>
        <w:rPr>
          <w:rFonts w:hint="eastAsia" w:ascii="楷体" w:hAnsi="楷体" w:eastAsia="楷体" w:cs="楷体"/>
          <w:color w:val="000000"/>
          <w:sz w:val="24"/>
          <w:szCs w:val="24"/>
          <w:lang w:val="en-US" w:eastAsia="zh-CN"/>
        </w:rPr>
        <w:t>总公司审批通过，可</w:t>
      </w:r>
      <w:r>
        <w:rPr>
          <w:rFonts w:hint="eastAsia" w:ascii="楷体" w:hAnsi="楷体" w:eastAsia="楷体" w:cs="楷体"/>
          <w:color w:val="000000"/>
          <w:sz w:val="24"/>
          <w:szCs w:val="24"/>
        </w:rPr>
        <w:t>签订正式劳动合同。</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楷体" w:hAnsi="楷体" w:eastAsia="楷体" w:cs="楷体"/>
          <w:color w:val="000000"/>
          <w:sz w:val="24"/>
          <w:szCs w:val="24"/>
        </w:rPr>
      </w:pPr>
      <w:r>
        <w:rPr>
          <w:rFonts w:hint="eastAsia" w:ascii="楷体" w:hAnsi="楷体" w:eastAsia="楷体" w:cs="楷体"/>
          <w:color w:val="000000"/>
          <w:sz w:val="24"/>
          <w:szCs w:val="24"/>
        </w:rPr>
        <w:t>四、实习</w:t>
      </w:r>
      <w:r>
        <w:rPr>
          <w:rFonts w:hint="eastAsia" w:ascii="楷体" w:hAnsi="楷体" w:eastAsia="楷体" w:cs="楷体"/>
          <w:color w:val="000000"/>
          <w:sz w:val="24"/>
          <w:szCs w:val="24"/>
          <w:lang w:val="en-US" w:eastAsia="zh-CN"/>
        </w:rPr>
        <w:t>实训</w:t>
      </w:r>
      <w:r>
        <w:rPr>
          <w:rFonts w:hint="eastAsia" w:ascii="楷体" w:hAnsi="楷体" w:eastAsia="楷体" w:cs="楷体"/>
          <w:color w:val="000000"/>
          <w:sz w:val="24"/>
          <w:szCs w:val="24"/>
        </w:rPr>
        <w:t>期提供免费宿舍（需</w:t>
      </w:r>
      <w:r>
        <w:rPr>
          <w:rFonts w:hint="eastAsia" w:ascii="楷体" w:hAnsi="楷体" w:eastAsia="楷体" w:cs="楷体"/>
          <w:color w:val="000000"/>
          <w:sz w:val="24"/>
          <w:szCs w:val="24"/>
          <w:lang w:val="en-US" w:eastAsia="zh-CN"/>
        </w:rPr>
        <w:t>自</w:t>
      </w:r>
      <w:r>
        <w:rPr>
          <w:rFonts w:hint="eastAsia" w:ascii="楷体" w:hAnsi="楷体" w:eastAsia="楷体" w:cs="楷体"/>
          <w:color w:val="000000"/>
          <w:sz w:val="24"/>
          <w:szCs w:val="24"/>
        </w:rPr>
        <w:t>付水电费）。</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楷体" w:hAnsi="楷体" w:eastAsia="楷体" w:cs="楷体"/>
          <w:color w:val="000000"/>
          <w:sz w:val="24"/>
          <w:szCs w:val="24"/>
        </w:rPr>
      </w:pPr>
      <w:r>
        <w:rPr>
          <w:rFonts w:hint="eastAsia" w:ascii="楷体" w:hAnsi="楷体" w:eastAsia="楷体" w:cs="楷体"/>
          <w:b w:val="0"/>
          <w:bCs w:val="0"/>
          <w:color w:val="000000"/>
          <w:sz w:val="24"/>
          <w:szCs w:val="24"/>
        </w:rPr>
        <w:t>五、</w:t>
      </w:r>
      <w:r>
        <w:rPr>
          <w:rFonts w:hint="eastAsia" w:ascii="楷体" w:hAnsi="楷体" w:eastAsia="楷体" w:cs="楷体"/>
          <w:b w:val="0"/>
          <w:bCs w:val="0"/>
          <w:color w:val="000000"/>
          <w:sz w:val="24"/>
          <w:szCs w:val="24"/>
          <w:lang w:val="en-US" w:eastAsia="zh-CN"/>
        </w:rPr>
        <w:t>公司</w:t>
      </w:r>
      <w:r>
        <w:rPr>
          <w:rFonts w:hint="eastAsia" w:ascii="楷体" w:hAnsi="楷体" w:eastAsia="楷体" w:cs="楷体"/>
          <w:b w:val="0"/>
          <w:bCs w:val="0"/>
          <w:color w:val="000000"/>
          <w:sz w:val="24"/>
          <w:szCs w:val="24"/>
        </w:rPr>
        <w:t>员工福利待遇：</w:t>
      </w:r>
    </w:p>
    <w:p>
      <w:pPr>
        <w:keepNext w:val="0"/>
        <w:keepLines w:val="0"/>
        <w:pageBreakBefore w:val="0"/>
        <w:widowControl/>
        <w:kinsoku/>
        <w:wordWrap/>
        <w:overflowPunct/>
        <w:topLinePunct w:val="0"/>
        <w:autoSpaceDE/>
        <w:autoSpaceDN/>
        <w:bidi w:val="0"/>
        <w:adjustRightInd/>
        <w:snapToGrid/>
        <w:spacing w:line="380" w:lineRule="exact"/>
        <w:ind w:firstLine="480" w:firstLineChars="200"/>
        <w:jc w:val="left"/>
        <w:textAlignment w:val="auto"/>
        <w:rPr>
          <w:rFonts w:ascii="楷体" w:hAnsi="楷体" w:eastAsia="楷体" w:cs="楷体"/>
          <w:color w:val="000000"/>
          <w:sz w:val="24"/>
          <w:szCs w:val="24"/>
        </w:rPr>
      </w:pPr>
      <w:r>
        <w:rPr>
          <w:rFonts w:hint="eastAsia" w:ascii="楷体" w:hAnsi="楷体" w:eastAsia="楷体" w:cs="楷体"/>
          <w:color w:val="000000"/>
          <w:sz w:val="24"/>
          <w:szCs w:val="24"/>
        </w:rPr>
        <w:t>1、社会保障方面（签订正式合同开始）：缴纳“六险二金”：养老保险、医疗保险、失业保险、大病保险、工伤保险、生育保险、意外伤害保险、住房公积金、企业年金。</w:t>
      </w:r>
    </w:p>
    <w:p>
      <w:pPr>
        <w:keepNext w:val="0"/>
        <w:keepLines w:val="0"/>
        <w:pageBreakBefore w:val="0"/>
        <w:widowControl/>
        <w:kinsoku/>
        <w:wordWrap/>
        <w:overflowPunct/>
        <w:topLinePunct w:val="0"/>
        <w:autoSpaceDE/>
        <w:autoSpaceDN/>
        <w:bidi w:val="0"/>
        <w:adjustRightInd/>
        <w:snapToGrid/>
        <w:spacing w:line="380" w:lineRule="exact"/>
        <w:ind w:firstLine="480" w:firstLineChars="200"/>
        <w:jc w:val="left"/>
        <w:textAlignment w:val="auto"/>
        <w:rPr>
          <w:rFonts w:ascii="楷体" w:hAnsi="楷体" w:eastAsia="楷体" w:cs="楷体"/>
          <w:color w:val="000000"/>
          <w:sz w:val="24"/>
          <w:szCs w:val="24"/>
        </w:rPr>
      </w:pPr>
      <w:r>
        <w:rPr>
          <w:rFonts w:hint="eastAsia" w:ascii="楷体" w:hAnsi="楷体" w:eastAsia="楷体" w:cs="楷体"/>
          <w:color w:val="000000"/>
          <w:sz w:val="24"/>
          <w:szCs w:val="24"/>
        </w:rPr>
        <w:t>2、 食宿方面：员工公寓、员工食堂（每月提供餐补150元/月）。</w:t>
      </w:r>
    </w:p>
    <w:p>
      <w:pPr>
        <w:keepNext w:val="0"/>
        <w:keepLines w:val="0"/>
        <w:pageBreakBefore w:val="0"/>
        <w:widowControl/>
        <w:kinsoku/>
        <w:wordWrap/>
        <w:overflowPunct/>
        <w:topLinePunct w:val="0"/>
        <w:autoSpaceDE/>
        <w:autoSpaceDN/>
        <w:bidi w:val="0"/>
        <w:adjustRightInd/>
        <w:snapToGrid/>
        <w:spacing w:line="380" w:lineRule="exact"/>
        <w:ind w:firstLine="480" w:firstLineChars="200"/>
        <w:jc w:val="left"/>
        <w:textAlignment w:val="auto"/>
        <w:rPr>
          <w:rFonts w:ascii="楷体" w:hAnsi="楷体" w:eastAsia="楷体" w:cs="楷体"/>
          <w:color w:val="000000"/>
          <w:sz w:val="24"/>
          <w:szCs w:val="24"/>
        </w:rPr>
      </w:pPr>
      <w:r>
        <w:rPr>
          <w:rFonts w:hint="eastAsia" w:ascii="楷体" w:hAnsi="楷体" w:eastAsia="楷体" w:cs="楷体"/>
          <w:color w:val="000000"/>
          <w:sz w:val="24"/>
          <w:szCs w:val="24"/>
        </w:rPr>
        <w:t>3、 其他方面：节日福利（包括：春节、端午、中秋等节假日）、</w:t>
      </w:r>
      <w:r>
        <w:rPr>
          <w:rFonts w:hint="eastAsia" w:ascii="楷体" w:hAnsi="楷体" w:eastAsia="楷体" w:cs="楷体"/>
          <w:sz w:val="24"/>
          <w:szCs w:val="24"/>
        </w:rPr>
        <w:t>职称、职业资格津贴、</w:t>
      </w:r>
      <w:r>
        <w:rPr>
          <w:rFonts w:hint="eastAsia" w:ascii="楷体" w:hAnsi="楷体" w:eastAsia="楷体" w:cs="楷体"/>
          <w:color w:val="000000"/>
          <w:sz w:val="24"/>
          <w:szCs w:val="24"/>
        </w:rPr>
        <w:t>话费补贴、通勤班车、室外运动场（塑胶跑道、篮球场、足球场）、青年联谊、集体婚礼、免费</w:t>
      </w:r>
      <w:r>
        <w:rPr>
          <w:rFonts w:hint="eastAsia" w:ascii="楷体" w:hAnsi="楷体" w:eastAsia="楷体" w:cs="楷体"/>
          <w:sz w:val="24"/>
          <w:szCs w:val="24"/>
        </w:rPr>
        <w:t>健康</w:t>
      </w:r>
      <w:r>
        <w:rPr>
          <w:rFonts w:hint="eastAsia" w:ascii="楷体" w:hAnsi="楷体" w:eastAsia="楷体" w:cs="楷体"/>
          <w:color w:val="000000"/>
          <w:sz w:val="24"/>
          <w:szCs w:val="24"/>
        </w:rPr>
        <w:t>体检（价值1500元）等。</w:t>
      </w:r>
    </w:p>
    <w:p>
      <w:pPr>
        <w:keepNext w:val="0"/>
        <w:keepLines w:val="0"/>
        <w:pageBreakBefore w:val="0"/>
        <w:widowControl/>
        <w:kinsoku/>
        <w:wordWrap/>
        <w:overflowPunct/>
        <w:topLinePunct w:val="0"/>
        <w:autoSpaceDE/>
        <w:autoSpaceDN/>
        <w:bidi w:val="0"/>
        <w:adjustRightInd/>
        <w:snapToGrid/>
        <w:spacing w:line="380" w:lineRule="exact"/>
        <w:ind w:firstLine="480" w:firstLineChars="200"/>
        <w:jc w:val="left"/>
        <w:textAlignment w:val="auto"/>
        <w:rPr>
          <w:rFonts w:ascii="楷体" w:hAnsi="楷体" w:eastAsia="楷体" w:cs="楷体"/>
          <w:color w:val="000000"/>
          <w:sz w:val="24"/>
          <w:szCs w:val="24"/>
        </w:rPr>
      </w:pPr>
      <w:r>
        <w:rPr>
          <w:rFonts w:hint="eastAsia" w:ascii="楷体" w:hAnsi="楷体" w:eastAsia="楷体" w:cs="楷体"/>
          <w:color w:val="000000"/>
          <w:sz w:val="24"/>
          <w:szCs w:val="24"/>
        </w:rPr>
        <w:t>4、股权激励：关键岗位员工或集团公司级先进获得者予以上市公司（股票代码：600089）股权激励</w:t>
      </w:r>
      <w:r>
        <w:rPr>
          <w:rFonts w:hint="eastAsia" w:ascii="楷体" w:hAnsi="楷体" w:eastAsia="楷体" w:cs="楷体"/>
          <w:color w:val="000000"/>
          <w:sz w:val="24"/>
          <w:szCs w:val="24"/>
          <w:lang w:eastAsia="zh-CN"/>
        </w:rPr>
        <w:t>（</w:t>
      </w:r>
      <w:r>
        <w:rPr>
          <w:rFonts w:hint="eastAsia" w:ascii="楷体" w:hAnsi="楷体" w:eastAsia="楷体" w:cs="楷体"/>
          <w:color w:val="000000"/>
          <w:sz w:val="24"/>
          <w:szCs w:val="24"/>
          <w:lang w:val="en-US" w:eastAsia="zh-CN"/>
        </w:rPr>
        <w:t>股权激励计划需获国家监管机构核准</w:t>
      </w:r>
      <w:r>
        <w:rPr>
          <w:rFonts w:hint="eastAsia" w:ascii="楷体" w:hAnsi="楷体" w:eastAsia="楷体" w:cs="楷体"/>
          <w:color w:val="000000"/>
          <w:sz w:val="24"/>
          <w:szCs w:val="24"/>
          <w:lang w:eastAsia="zh-CN"/>
        </w:rPr>
        <w:t>）</w:t>
      </w:r>
      <w:r>
        <w:rPr>
          <w:rFonts w:hint="eastAsia" w:ascii="楷体" w:hAnsi="楷体" w:eastAsia="楷体" w:cs="楷体"/>
          <w:color w:val="000000"/>
          <w:sz w:val="24"/>
          <w:szCs w:val="24"/>
        </w:rPr>
        <w:t>。</w:t>
      </w:r>
    </w:p>
    <w:p>
      <w:pPr>
        <w:keepNext w:val="0"/>
        <w:keepLines w:val="0"/>
        <w:pageBreakBefore w:val="0"/>
        <w:kinsoku/>
        <w:wordWrap/>
        <w:overflowPunct/>
        <w:topLinePunct w:val="0"/>
        <w:autoSpaceDE/>
        <w:autoSpaceDN/>
        <w:bidi w:val="0"/>
        <w:adjustRightInd/>
        <w:snapToGrid/>
        <w:spacing w:line="380" w:lineRule="exact"/>
        <w:textAlignment w:val="auto"/>
        <w:rPr>
          <w:rFonts w:ascii="楷体" w:hAnsi="楷体" w:eastAsia="楷体" w:cs="楷体"/>
          <w:sz w:val="24"/>
          <w:szCs w:val="24"/>
        </w:rPr>
      </w:pPr>
      <w:r>
        <w:rPr>
          <w:rFonts w:hint="eastAsia" w:ascii="楷体" w:hAnsi="楷体" w:eastAsia="楷体" w:cs="楷体"/>
          <w:sz w:val="24"/>
          <w:szCs w:val="24"/>
        </w:rPr>
        <w:t>六、</w:t>
      </w:r>
      <w:r>
        <w:rPr>
          <w:rFonts w:hint="eastAsia" w:ascii="楷体" w:hAnsi="楷体" w:eastAsia="楷体" w:cs="楷体"/>
          <w:b/>
          <w:bCs/>
          <w:sz w:val="24"/>
          <w:szCs w:val="24"/>
        </w:rPr>
        <w:t>培养方向：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楷体" w:hAnsi="楷体" w:eastAsia="楷体" w:cs="楷体"/>
          <w:b/>
          <w:sz w:val="24"/>
          <w:szCs w:val="24"/>
        </w:rPr>
      </w:pPr>
      <w:r>
        <w:rPr>
          <w:rFonts w:hint="eastAsia" w:ascii="楷体" w:hAnsi="楷体" w:eastAsia="楷体" w:cs="楷体"/>
          <w:sz w:val="24"/>
          <w:szCs w:val="24"/>
        </w:rPr>
        <w:t>电力设备制造、设备管理维护、产品交付与服务、电力工程运检</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楷体" w:hAnsi="楷体" w:eastAsia="楷体" w:cs="楷体"/>
          <w:sz w:val="24"/>
          <w:szCs w:val="24"/>
        </w:rPr>
      </w:pPr>
      <w:r>
        <w:rPr>
          <w:rFonts w:hint="eastAsia" w:ascii="楷体" w:hAnsi="楷体" w:eastAsia="楷体" w:cs="楷体"/>
          <w:b/>
          <w:sz w:val="24"/>
          <w:szCs w:val="24"/>
        </w:rPr>
        <w:t>公司</w:t>
      </w:r>
      <w:r>
        <w:rPr>
          <w:rFonts w:hint="eastAsia" w:ascii="楷体" w:hAnsi="楷体" w:eastAsia="楷体" w:cs="楷体"/>
          <w:b/>
          <w:sz w:val="24"/>
          <w:szCs w:val="24"/>
          <w:lang w:val="en-US" w:eastAsia="zh-CN"/>
        </w:rPr>
        <w:t>园区</w:t>
      </w:r>
      <w:r>
        <w:rPr>
          <w:rFonts w:hint="eastAsia" w:ascii="楷体" w:hAnsi="楷体" w:eastAsia="楷体" w:cs="楷体"/>
          <w:b/>
          <w:sz w:val="24"/>
          <w:szCs w:val="24"/>
        </w:rPr>
        <w:t>：</w:t>
      </w:r>
      <w:r>
        <w:rPr>
          <w:rFonts w:hint="eastAsia" w:ascii="楷体" w:hAnsi="楷体" w:eastAsia="楷体" w:cs="楷体"/>
          <w:sz w:val="24"/>
          <w:szCs w:val="24"/>
        </w:rPr>
        <w:t>湖南省衡阳市雁峰区白沙大道</w:t>
      </w:r>
      <w:r>
        <w:rPr>
          <w:rFonts w:hint="eastAsia" w:ascii="楷体" w:hAnsi="楷体" w:eastAsia="楷体" w:cs="楷体"/>
          <w:sz w:val="24"/>
          <w:szCs w:val="24"/>
          <w:lang w:val="en-US" w:eastAsia="zh-CN"/>
        </w:rPr>
        <w:t xml:space="preserve">本部园区、云集5G高科技产业园区、白沙工业园输变电再制造园区、江苏省南京市江宁区智能电气园区、上海市奉贤区高压开关园区、新疆自治区昌吉市智能电气园区  </w:t>
      </w:r>
      <w:r>
        <w:rPr>
          <w:rFonts w:hint="eastAsia" w:ascii="楷体" w:hAnsi="楷体" w:eastAsia="楷体" w:cs="楷体"/>
          <w:sz w:val="24"/>
          <w:szCs w:val="24"/>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AA0BBF"/>
    <w:multiLevelType w:val="singleLevel"/>
    <w:tmpl w:val="6EAA0BB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zN2UyYWY1OTUyYzA4NzUxNDYyODhiNDA3NzNhNzMifQ=="/>
  </w:docVars>
  <w:rsids>
    <w:rsidRoot w:val="41113CF6"/>
    <w:rsid w:val="007F7179"/>
    <w:rsid w:val="41113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2023-12-18T11:17:00Z</dcterms:created>
  <dc:creator>边記</dc:creator>
  <cp:lastModifiedBy>边記</cp:lastModifiedBy>
  <dcterms:modified xsi:type="dcterms:W3CDTF">2023-12-19T09:26:31Z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68CBB5F030F04C9DA96540B5905F7E59_11</vt:lpwstr>
  </property>
</Properties>
</file>