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E4FDF">
      <w:pPr>
        <w:keepNext w:val="0"/>
        <w:keepLines w:val="0"/>
        <w:pageBreakBefore w:val="0"/>
        <w:widowControl w:val="0"/>
        <w:kinsoku/>
        <w:wordWrap/>
        <w:overflowPunct/>
        <w:topLinePunct w:val="0"/>
        <w:autoSpaceDE/>
        <w:autoSpaceDN/>
        <w:bidi w:val="0"/>
        <w:adjustRightInd/>
        <w:snapToGrid/>
        <w:spacing w:line="120" w:lineRule="auto"/>
        <w:jc w:val="center"/>
        <w:textAlignment w:val="auto"/>
        <w:outlineLvl w:val="9"/>
        <w:rPr>
          <w:rFonts w:hint="eastAsia" w:ascii="微软雅黑" w:hAnsi="微软雅黑" w:eastAsia="微软雅黑" w:cs="微软雅黑"/>
          <w:b w:val="0"/>
          <w:bCs/>
          <w:sz w:val="48"/>
          <w:szCs w:val="48"/>
          <w:lang w:val="en-US" w:eastAsia="zh-CN"/>
        </w:rPr>
      </w:pPr>
      <w:r>
        <w:rPr>
          <w:rFonts w:hint="eastAsia" w:ascii="微软雅黑" w:hAnsi="微软雅黑" w:eastAsia="微软雅黑" w:cs="微软雅黑"/>
          <w:b w:val="0"/>
          <w:bCs/>
          <w:sz w:val="48"/>
          <w:szCs w:val="48"/>
          <w:lang w:val="en-US" w:eastAsia="zh-CN"/>
        </w:rPr>
        <w:t>都昌县</w:t>
      </w:r>
      <w:r>
        <w:rPr>
          <w:rFonts w:hint="eastAsia" w:ascii="微软雅黑" w:hAnsi="微软雅黑" w:eastAsia="微软雅黑" w:cs="微软雅黑"/>
          <w:b w:val="0"/>
          <w:bCs/>
          <w:sz w:val="48"/>
          <w:szCs w:val="48"/>
          <w:lang w:eastAsia="zh-CN"/>
        </w:rPr>
        <w:t>首创</w:t>
      </w:r>
      <w:r>
        <w:rPr>
          <w:rFonts w:hint="eastAsia" w:ascii="微软雅黑" w:hAnsi="微软雅黑" w:eastAsia="微软雅黑" w:cs="微软雅黑"/>
          <w:b w:val="0"/>
          <w:bCs/>
          <w:sz w:val="48"/>
          <w:szCs w:val="48"/>
          <w:lang w:val="en-US" w:eastAsia="zh-CN"/>
        </w:rPr>
        <w:t>环保能源有限公司</w:t>
      </w:r>
    </w:p>
    <w:p w14:paraId="0AFA8F09">
      <w:pPr>
        <w:keepNext w:val="0"/>
        <w:keepLines w:val="0"/>
        <w:pageBreakBefore w:val="0"/>
        <w:widowControl w:val="0"/>
        <w:kinsoku/>
        <w:wordWrap/>
        <w:overflowPunct/>
        <w:topLinePunct w:val="0"/>
        <w:autoSpaceDE/>
        <w:autoSpaceDN/>
        <w:bidi w:val="0"/>
        <w:adjustRightInd/>
        <w:snapToGrid/>
        <w:spacing w:line="120" w:lineRule="auto"/>
        <w:jc w:val="center"/>
        <w:textAlignment w:val="auto"/>
        <w:outlineLvl w:val="9"/>
        <w:rPr>
          <w:rFonts w:hint="eastAsia" w:ascii="微软雅黑" w:hAnsi="微软雅黑" w:eastAsia="微软雅黑" w:cs="微软雅黑"/>
          <w:b w:val="0"/>
          <w:bCs/>
          <w:sz w:val="32"/>
          <w:szCs w:val="32"/>
        </w:rPr>
      </w:pPr>
      <w:r>
        <w:rPr>
          <w:rFonts w:hint="eastAsia" w:ascii="华文仿宋" w:hAnsi="华文仿宋" w:eastAsia="华文仿宋"/>
          <w:b/>
          <w:sz w:val="32"/>
          <w:szCs w:val="32"/>
          <w:lang w:val="en-US" w:eastAsia="zh-CN"/>
        </w:rPr>
        <w:t xml:space="preserve">                       </w:t>
      </w:r>
      <w:bookmarkStart w:id="0" w:name="_GoBack"/>
      <w:bookmarkEnd w:id="0"/>
    </w:p>
    <w:p w14:paraId="5DC61DEA">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一、企业简介</w:t>
      </w:r>
    </w:p>
    <w:p w14:paraId="5D89F35A">
      <w:pPr>
        <w:keepNext w:val="0"/>
        <w:keepLines w:val="0"/>
        <w:pageBreakBefore w:val="0"/>
        <w:widowControl w:val="0"/>
        <w:kinsoku/>
        <w:wordWrap/>
        <w:overflowPunct/>
        <w:topLinePunct w:val="0"/>
        <w:bidi w:val="0"/>
        <w:snapToGrid/>
        <w:spacing w:line="600" w:lineRule="exact"/>
        <w:ind w:firstLine="615" w:firstLineChars="205"/>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都昌县首创环保能源有限公司是北京首创环境控股有限公司旗下的一家国有环保企业，成立于2019年4月17日，位于江西省九江市都昌县蔡岭工业园区。作为江西省重点环保项目，公司秉承“做美丽中国的建设者和守护者”的使命与担当，致力于成为中国固废领域增长快、规模大、影响力强的领军企业。2</w:t>
      </w:r>
      <w:r>
        <w:rPr>
          <w:rFonts w:hint="eastAsia" w:asciiTheme="minorEastAsia" w:hAnsiTheme="minorEastAsia" w:eastAsiaTheme="minorEastAsia" w:cstheme="minorEastAsia"/>
          <w:sz w:val="30"/>
          <w:szCs w:val="30"/>
          <w:lang w:eastAsia="zh-CN"/>
        </w:rPr>
        <w:t>024年7月份，餐厨项目进料调试完成，正式转入商业运营期。同年9月，拓展蒸汽业务，12月正式供汽，主要利用垃圾焚烧产生的蒸汽实行供汽。</w:t>
      </w:r>
    </w:p>
    <w:p w14:paraId="7C60DC52">
      <w:pPr>
        <w:keepNext w:val="0"/>
        <w:keepLines w:val="0"/>
        <w:pageBreakBefore w:val="0"/>
        <w:widowControl w:val="0"/>
        <w:kinsoku/>
        <w:wordWrap/>
        <w:overflowPunct/>
        <w:topLinePunct w:val="0"/>
        <w:bidi w:val="0"/>
        <w:snapToGrid/>
        <w:spacing w:line="600" w:lineRule="exact"/>
        <w:ind w:firstLine="615" w:firstLineChars="205"/>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本项目</w:t>
      </w:r>
      <w:r>
        <w:rPr>
          <w:rFonts w:hint="eastAsia" w:asciiTheme="minorEastAsia" w:hAnsiTheme="minorEastAsia" w:eastAsiaTheme="minorEastAsia" w:cstheme="minorEastAsia"/>
          <w:sz w:val="30"/>
          <w:szCs w:val="30"/>
          <w:lang w:eastAsia="zh-CN"/>
        </w:rPr>
        <w:t>总投资3.9436亿元，特许经营期限26年（不含建设期），设计总规模日处理生活垃圾800吨，配置两台400t/d机械炉排焚烧炉、2台中温次高压余热锅炉和一台15MW凝汽式汽轮机，预留远期处理生活垃圾400吨场地，设计年发电量约1 亿度。烟气净化系统釆用“SNCR炉内脱硝+半干法脱酸+干法喷射+活性炭吸附+布袋除尘”工艺，整个系统保持负压状态，防止污染物外泄。垃圾渗沥液处理采用“预处理+UASB高效厌氧反应器+MBR生化处理系统+NF纳滤膜系统+RO反渗透系统”+DTRO浓缩的工艺组合。产生的炉渣外运综合利用，飞灰经厂内稳定固化处理后送生活垃圾填埋场处理。</w:t>
      </w:r>
    </w:p>
    <w:p w14:paraId="5CCACF49">
      <w:pPr>
        <w:ind w:firstLine="576" w:firstLineChars="205"/>
        <w:rPr>
          <w:rFonts w:hint="eastAsia" w:ascii="华文仿宋" w:hAnsi="华文仿宋" w:eastAsia="华文仿宋"/>
          <w:b/>
          <w:sz w:val="28"/>
          <w:szCs w:val="28"/>
          <w:lang w:eastAsia="zh-CN"/>
        </w:rPr>
      </w:pPr>
    </w:p>
    <w:p w14:paraId="779A85A8">
      <w:pPr>
        <w:ind w:firstLine="659" w:firstLineChars="20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sz w:val="32"/>
          <w:szCs w:val="32"/>
          <w:lang w:eastAsia="zh-CN"/>
        </w:rPr>
        <w:t>二、企业性质：国有企业</w:t>
      </w:r>
    </w:p>
    <w:p w14:paraId="0B26FD3E">
      <w:pP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b/>
          <w:sz w:val="32"/>
          <w:szCs w:val="32"/>
          <w:lang w:eastAsia="zh-CN"/>
        </w:rPr>
        <w:t>三</w:t>
      </w:r>
      <w:r>
        <w:rPr>
          <w:rFonts w:hint="eastAsia" w:asciiTheme="minorEastAsia" w:hAnsiTheme="minorEastAsia" w:eastAsiaTheme="minorEastAsia" w:cstheme="minorEastAsia"/>
          <w:b/>
          <w:sz w:val="32"/>
          <w:szCs w:val="32"/>
        </w:rPr>
        <w:t>、招聘岗位</w:t>
      </w:r>
    </w:p>
    <w:tbl>
      <w:tblPr>
        <w:tblStyle w:val="5"/>
        <w:tblW w:w="1036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56" w:type="dxa"/>
          <w:left w:w="77" w:type="dxa"/>
          <w:bottom w:w="56" w:type="dxa"/>
          <w:right w:w="77" w:type="dxa"/>
        </w:tblCellMar>
      </w:tblPr>
      <w:tblGrid>
        <w:gridCol w:w="834"/>
        <w:gridCol w:w="2590"/>
        <w:gridCol w:w="967"/>
        <w:gridCol w:w="1573"/>
        <w:gridCol w:w="2017"/>
        <w:gridCol w:w="1420"/>
        <w:gridCol w:w="960"/>
      </w:tblGrid>
      <w:tr w14:paraId="7140C3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56" w:type="dxa"/>
            <w:left w:w="77" w:type="dxa"/>
            <w:bottom w:w="56" w:type="dxa"/>
            <w:right w:w="77" w:type="dxa"/>
          </w:tblCellMar>
        </w:tblPrEx>
        <w:trPr>
          <w:trHeight w:val="0" w:hRule="atLeast"/>
          <w:tblHeader/>
          <w:jc w:val="center"/>
        </w:trPr>
        <w:tc>
          <w:tcPr>
            <w:tcW w:w="834" w:type="dxa"/>
            <w:vAlign w:val="center"/>
          </w:tcPr>
          <w:p w14:paraId="6663FF38">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序号</w:t>
            </w:r>
          </w:p>
        </w:tc>
        <w:tc>
          <w:tcPr>
            <w:tcW w:w="2590" w:type="dxa"/>
            <w:vAlign w:val="center"/>
          </w:tcPr>
          <w:p w14:paraId="378B208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岗位名称</w:t>
            </w:r>
          </w:p>
        </w:tc>
        <w:tc>
          <w:tcPr>
            <w:tcW w:w="967" w:type="dxa"/>
            <w:vAlign w:val="center"/>
          </w:tcPr>
          <w:p w14:paraId="1C32AAD8">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val="en-US" w:eastAsia="zh-CN"/>
              </w:rPr>
              <w:t>招聘</w:t>
            </w:r>
            <w:r>
              <w:rPr>
                <w:rFonts w:hint="eastAsia" w:ascii="华文仿宋" w:hAnsi="华文仿宋" w:eastAsia="华文仿宋"/>
                <w:b/>
                <w:sz w:val="28"/>
                <w:szCs w:val="28"/>
                <w:lang w:eastAsia="zh-CN"/>
              </w:rPr>
              <w:t>人数</w:t>
            </w:r>
          </w:p>
        </w:tc>
        <w:tc>
          <w:tcPr>
            <w:tcW w:w="1573" w:type="dxa"/>
            <w:vAlign w:val="center"/>
          </w:tcPr>
          <w:p w14:paraId="4CF1273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华文仿宋" w:hAnsi="华文仿宋" w:eastAsia="华文仿宋"/>
                <w:b/>
                <w:sz w:val="28"/>
                <w:szCs w:val="28"/>
                <w:lang w:val="en-US" w:eastAsia="zh-CN"/>
              </w:rPr>
            </w:pPr>
            <w:r>
              <w:rPr>
                <w:rFonts w:hint="eastAsia" w:ascii="华文仿宋" w:hAnsi="华文仿宋" w:eastAsia="华文仿宋"/>
                <w:b/>
                <w:sz w:val="28"/>
                <w:szCs w:val="28"/>
                <w:lang w:val="en-US" w:eastAsia="zh-CN"/>
              </w:rPr>
              <w:t>学历要求</w:t>
            </w:r>
          </w:p>
        </w:tc>
        <w:tc>
          <w:tcPr>
            <w:tcW w:w="2017" w:type="dxa"/>
            <w:vAlign w:val="center"/>
          </w:tcPr>
          <w:p w14:paraId="07F3F1F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专业要求</w:t>
            </w:r>
          </w:p>
        </w:tc>
        <w:tc>
          <w:tcPr>
            <w:tcW w:w="1420" w:type="dxa"/>
            <w:vAlign w:val="center"/>
          </w:tcPr>
          <w:p w14:paraId="1AD2367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其他要求</w:t>
            </w:r>
          </w:p>
        </w:tc>
        <w:tc>
          <w:tcPr>
            <w:tcW w:w="960" w:type="dxa"/>
            <w:vAlign w:val="center"/>
          </w:tcPr>
          <w:p w14:paraId="3CB49C0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华文仿宋" w:hAnsi="华文仿宋" w:eastAsia="华文仿宋"/>
                <w:b/>
                <w:sz w:val="28"/>
                <w:szCs w:val="28"/>
                <w:lang w:eastAsia="zh-CN"/>
              </w:rPr>
            </w:pPr>
            <w:r>
              <w:rPr>
                <w:rFonts w:hint="eastAsia" w:ascii="华文仿宋" w:hAnsi="华文仿宋" w:eastAsia="华文仿宋"/>
                <w:b/>
                <w:sz w:val="28"/>
                <w:szCs w:val="28"/>
                <w:lang w:eastAsia="zh-CN"/>
              </w:rPr>
              <w:t>备注</w:t>
            </w:r>
          </w:p>
        </w:tc>
      </w:tr>
      <w:tr w14:paraId="738557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56" w:type="dxa"/>
            <w:left w:w="77" w:type="dxa"/>
            <w:bottom w:w="56" w:type="dxa"/>
            <w:right w:w="77" w:type="dxa"/>
          </w:tblCellMar>
        </w:tblPrEx>
        <w:trPr>
          <w:trHeight w:val="0" w:hRule="atLeast"/>
          <w:jc w:val="center"/>
        </w:trPr>
        <w:tc>
          <w:tcPr>
            <w:tcW w:w="834" w:type="dxa"/>
            <w:vAlign w:val="center"/>
          </w:tcPr>
          <w:p w14:paraId="771509A6">
            <w:pPr>
              <w:snapToGrid w:val="0"/>
              <w:jc w:val="center"/>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1</w:t>
            </w:r>
          </w:p>
        </w:tc>
        <w:tc>
          <w:tcPr>
            <w:tcW w:w="2590" w:type="dxa"/>
            <w:vAlign w:val="center"/>
          </w:tcPr>
          <w:p w14:paraId="48D9A0BE">
            <w:pPr>
              <w:snapToGrid w:val="0"/>
              <w:jc w:val="center"/>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巡检（</w:t>
            </w:r>
            <w:r>
              <w:rPr>
                <w:rFonts w:hint="eastAsia" w:ascii="华文仿宋" w:hAnsi="华文仿宋" w:eastAsia="华文仿宋"/>
                <w:sz w:val="28"/>
                <w:szCs w:val="21"/>
                <w:lang w:val="en-US" w:eastAsia="zh-CN"/>
              </w:rPr>
              <w:t>汽机、锅炉、电气</w:t>
            </w:r>
            <w:r>
              <w:rPr>
                <w:rFonts w:hint="eastAsia" w:ascii="华文仿宋" w:hAnsi="华文仿宋" w:eastAsia="华文仿宋"/>
                <w:sz w:val="28"/>
                <w:szCs w:val="28"/>
                <w:lang w:val="en-US" w:eastAsia="zh-CN"/>
              </w:rPr>
              <w:t>）</w:t>
            </w:r>
          </w:p>
        </w:tc>
        <w:tc>
          <w:tcPr>
            <w:tcW w:w="967" w:type="dxa"/>
            <w:vAlign w:val="center"/>
          </w:tcPr>
          <w:p w14:paraId="1BE0A67B">
            <w:pPr>
              <w:snapToGrid w:val="0"/>
              <w:jc w:val="center"/>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5</w:t>
            </w:r>
          </w:p>
        </w:tc>
        <w:tc>
          <w:tcPr>
            <w:tcW w:w="1573" w:type="dxa"/>
            <w:vAlign w:val="center"/>
          </w:tcPr>
          <w:p w14:paraId="43BB65F3">
            <w:pPr>
              <w:snapToGrid w:val="0"/>
              <w:jc w:val="center"/>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大专及以上</w:t>
            </w:r>
          </w:p>
        </w:tc>
        <w:tc>
          <w:tcPr>
            <w:tcW w:w="2017" w:type="dxa"/>
            <w:vAlign w:val="center"/>
          </w:tcPr>
          <w:p w14:paraId="43E0DEF6">
            <w:pPr>
              <w:snapToGrid w:val="0"/>
              <w:jc w:val="center"/>
              <w:rPr>
                <w:rFonts w:hint="eastAsia" w:ascii="华文仿宋" w:hAnsi="华文仿宋" w:eastAsia="华文仿宋"/>
                <w:sz w:val="28"/>
                <w:szCs w:val="28"/>
              </w:rPr>
            </w:pPr>
            <w:r>
              <w:rPr>
                <w:rFonts w:hint="eastAsia" w:ascii="华文仿宋" w:hAnsi="华文仿宋" w:eastAsia="华文仿宋"/>
                <w:sz w:val="28"/>
                <w:szCs w:val="28"/>
              </w:rPr>
              <w:t>电力相关专业</w:t>
            </w:r>
          </w:p>
        </w:tc>
        <w:tc>
          <w:tcPr>
            <w:tcW w:w="1420" w:type="dxa"/>
            <w:vAlign w:val="center"/>
          </w:tcPr>
          <w:p w14:paraId="5F15DB7A">
            <w:pPr>
              <w:snapToGrid w:val="0"/>
              <w:jc w:val="center"/>
              <w:rPr>
                <w:rFonts w:hint="eastAsia" w:ascii="华文仿宋" w:hAnsi="华文仿宋" w:eastAsia="华文仿宋"/>
                <w:sz w:val="28"/>
                <w:szCs w:val="28"/>
              </w:rPr>
            </w:pPr>
            <w:r>
              <w:rPr>
                <w:rFonts w:hint="eastAsia" w:ascii="华文仿宋" w:hAnsi="华文仿宋" w:eastAsia="华文仿宋"/>
                <w:sz w:val="28"/>
                <w:szCs w:val="28"/>
                <w:lang w:eastAsia="zh-CN"/>
              </w:rPr>
              <w:t>不限</w:t>
            </w:r>
          </w:p>
        </w:tc>
        <w:tc>
          <w:tcPr>
            <w:tcW w:w="960" w:type="dxa"/>
            <w:vAlign w:val="center"/>
          </w:tcPr>
          <w:p w14:paraId="335329A0">
            <w:pPr>
              <w:snapToGrid w:val="0"/>
              <w:jc w:val="center"/>
              <w:rPr>
                <w:rFonts w:hint="eastAsia" w:ascii="华文仿宋" w:hAnsi="华文仿宋" w:eastAsia="华文仿宋"/>
                <w:sz w:val="28"/>
                <w:szCs w:val="28"/>
                <w:lang w:eastAsia="zh-CN"/>
              </w:rPr>
            </w:pPr>
          </w:p>
        </w:tc>
      </w:tr>
      <w:tr w14:paraId="46F0C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56" w:type="dxa"/>
            <w:left w:w="77" w:type="dxa"/>
            <w:bottom w:w="56" w:type="dxa"/>
            <w:right w:w="77" w:type="dxa"/>
          </w:tblCellMar>
        </w:tblPrEx>
        <w:trPr>
          <w:trHeight w:val="0" w:hRule="atLeast"/>
          <w:jc w:val="center"/>
        </w:trPr>
        <w:tc>
          <w:tcPr>
            <w:tcW w:w="834" w:type="dxa"/>
            <w:vAlign w:val="center"/>
          </w:tcPr>
          <w:p w14:paraId="2311EEF1">
            <w:pPr>
              <w:snapToGrid w:val="0"/>
              <w:jc w:val="center"/>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2</w:t>
            </w:r>
          </w:p>
        </w:tc>
        <w:tc>
          <w:tcPr>
            <w:tcW w:w="2590" w:type="dxa"/>
            <w:vAlign w:val="center"/>
          </w:tcPr>
          <w:p w14:paraId="736486EF">
            <w:pPr>
              <w:snapToGrid w:val="0"/>
              <w:jc w:val="center"/>
              <w:rPr>
                <w:rFonts w:hint="default" w:ascii="华文仿宋" w:hAnsi="华文仿宋" w:eastAsia="华文仿宋" w:cstheme="minorBidi"/>
                <w:kern w:val="2"/>
                <w:sz w:val="28"/>
                <w:szCs w:val="28"/>
                <w:lang w:val="en-US" w:eastAsia="zh-CN" w:bidi="ar-SA"/>
              </w:rPr>
            </w:pPr>
            <w:r>
              <w:rPr>
                <w:rFonts w:hint="eastAsia" w:ascii="华文仿宋" w:hAnsi="华文仿宋" w:eastAsia="华文仿宋" w:cstheme="minorBidi"/>
                <w:kern w:val="2"/>
                <w:sz w:val="28"/>
                <w:szCs w:val="28"/>
                <w:lang w:val="en-US" w:eastAsia="zh-CN" w:bidi="ar-SA"/>
              </w:rPr>
              <w:t>垃圾吊</w:t>
            </w:r>
          </w:p>
        </w:tc>
        <w:tc>
          <w:tcPr>
            <w:tcW w:w="967" w:type="dxa"/>
            <w:vAlign w:val="center"/>
          </w:tcPr>
          <w:p w14:paraId="2E814A48">
            <w:pPr>
              <w:snapToGrid w:val="0"/>
              <w:jc w:val="center"/>
              <w:rPr>
                <w:rFonts w:hint="default" w:ascii="华文仿宋" w:hAnsi="华文仿宋" w:eastAsia="华文仿宋" w:cstheme="minorBidi"/>
                <w:kern w:val="2"/>
                <w:sz w:val="28"/>
                <w:szCs w:val="28"/>
                <w:lang w:val="en-US" w:eastAsia="zh-CN" w:bidi="ar-SA"/>
              </w:rPr>
            </w:pPr>
            <w:r>
              <w:rPr>
                <w:rFonts w:hint="eastAsia" w:ascii="华文仿宋" w:hAnsi="华文仿宋" w:eastAsia="华文仿宋" w:cstheme="minorBidi"/>
                <w:kern w:val="2"/>
                <w:sz w:val="28"/>
                <w:szCs w:val="28"/>
                <w:lang w:val="en-US" w:eastAsia="zh-CN" w:bidi="ar-SA"/>
              </w:rPr>
              <w:t>5</w:t>
            </w:r>
          </w:p>
        </w:tc>
        <w:tc>
          <w:tcPr>
            <w:tcW w:w="1573" w:type="dxa"/>
            <w:vAlign w:val="center"/>
          </w:tcPr>
          <w:p w14:paraId="3936B629">
            <w:pPr>
              <w:snapToGrid w:val="0"/>
              <w:jc w:val="center"/>
              <w:rPr>
                <w:rFonts w:hint="eastAsia" w:ascii="华文仿宋" w:hAnsi="华文仿宋" w:eastAsia="华文仿宋"/>
                <w:sz w:val="28"/>
                <w:szCs w:val="28"/>
              </w:rPr>
            </w:pPr>
            <w:r>
              <w:rPr>
                <w:rFonts w:hint="eastAsia" w:ascii="华文仿宋" w:hAnsi="华文仿宋" w:eastAsia="华文仿宋"/>
                <w:sz w:val="28"/>
                <w:szCs w:val="28"/>
                <w:lang w:val="en-US" w:eastAsia="zh-CN"/>
              </w:rPr>
              <w:t>大专及以上</w:t>
            </w:r>
          </w:p>
        </w:tc>
        <w:tc>
          <w:tcPr>
            <w:tcW w:w="2017" w:type="dxa"/>
            <w:vAlign w:val="center"/>
          </w:tcPr>
          <w:p w14:paraId="7777BFA8">
            <w:pPr>
              <w:snapToGrid w:val="0"/>
              <w:jc w:val="center"/>
              <w:rPr>
                <w:rFonts w:hint="eastAsia" w:ascii="华文仿宋" w:hAnsi="华文仿宋" w:eastAsia="华文仿宋" w:cstheme="minorBidi"/>
                <w:kern w:val="2"/>
                <w:sz w:val="28"/>
                <w:szCs w:val="28"/>
                <w:lang w:val="en-US" w:eastAsia="zh-CN" w:bidi="ar-SA"/>
              </w:rPr>
            </w:pPr>
            <w:r>
              <w:rPr>
                <w:rFonts w:hint="eastAsia" w:ascii="华文仿宋" w:hAnsi="华文仿宋" w:eastAsia="华文仿宋"/>
                <w:sz w:val="28"/>
                <w:szCs w:val="28"/>
              </w:rPr>
              <w:t>电力相关专业</w:t>
            </w:r>
          </w:p>
        </w:tc>
        <w:tc>
          <w:tcPr>
            <w:tcW w:w="1420" w:type="dxa"/>
            <w:vAlign w:val="center"/>
          </w:tcPr>
          <w:p w14:paraId="2E6C4A43">
            <w:pPr>
              <w:snapToGrid w:val="0"/>
              <w:jc w:val="center"/>
              <w:rPr>
                <w:rFonts w:hint="eastAsia" w:ascii="华文仿宋" w:hAnsi="华文仿宋" w:eastAsia="华文仿宋" w:cstheme="minorBidi"/>
                <w:kern w:val="2"/>
                <w:sz w:val="28"/>
                <w:szCs w:val="28"/>
                <w:lang w:val="en-US" w:eastAsia="zh-CN" w:bidi="ar-SA"/>
              </w:rPr>
            </w:pPr>
            <w:r>
              <w:rPr>
                <w:rFonts w:hint="eastAsia" w:ascii="华文仿宋" w:hAnsi="华文仿宋" w:eastAsia="华文仿宋"/>
                <w:sz w:val="28"/>
                <w:szCs w:val="28"/>
                <w:lang w:eastAsia="zh-CN"/>
              </w:rPr>
              <w:t>不限</w:t>
            </w:r>
          </w:p>
        </w:tc>
        <w:tc>
          <w:tcPr>
            <w:tcW w:w="960" w:type="dxa"/>
            <w:vAlign w:val="center"/>
          </w:tcPr>
          <w:p w14:paraId="34C8D447">
            <w:pPr>
              <w:snapToGrid w:val="0"/>
              <w:jc w:val="center"/>
              <w:rPr>
                <w:rFonts w:hint="eastAsia" w:ascii="华文仿宋" w:hAnsi="华文仿宋" w:eastAsia="华文仿宋" w:cstheme="minorBidi"/>
                <w:kern w:val="2"/>
                <w:sz w:val="28"/>
                <w:szCs w:val="28"/>
                <w:lang w:val="en-US" w:eastAsia="zh-CN" w:bidi="ar-SA"/>
              </w:rPr>
            </w:pPr>
          </w:p>
        </w:tc>
      </w:tr>
    </w:tbl>
    <w:p w14:paraId="4F2EE840">
      <w:pPr>
        <w:keepNext w:val="0"/>
        <w:keepLines w:val="0"/>
        <w:pageBreakBefore w:val="0"/>
        <w:widowControl w:val="0"/>
        <w:kinsoku/>
        <w:wordWrap/>
        <w:overflowPunct/>
        <w:topLinePunct w:val="0"/>
        <w:autoSpaceDE/>
        <w:autoSpaceDN/>
        <w:bidi w:val="0"/>
        <w:adjustRightInd/>
        <w:snapToGrid/>
        <w:spacing w:line="520" w:lineRule="exact"/>
        <w:ind w:firstLine="573"/>
        <w:textAlignment w:val="auto"/>
        <w:rPr>
          <w:rFonts w:hint="eastAsia" w:asciiTheme="minorEastAsia" w:hAnsiTheme="minorEastAsia" w:eastAsiaTheme="minorEastAsia" w:cstheme="minorEastAsia"/>
          <w:b w:val="0"/>
          <w:bCs/>
          <w:sz w:val="30"/>
          <w:szCs w:val="30"/>
        </w:rPr>
      </w:pPr>
      <w:r>
        <w:rPr>
          <w:rFonts w:hint="eastAsia" w:asciiTheme="minorEastAsia" w:hAnsiTheme="minorEastAsia" w:eastAsiaTheme="minorEastAsia" w:cstheme="minorEastAsia"/>
          <w:b w:val="0"/>
          <w:bCs/>
          <w:sz w:val="30"/>
          <w:szCs w:val="30"/>
          <w:lang w:eastAsia="zh-CN"/>
        </w:rPr>
        <w:t>电力相关专业：热能动力设备与应用、火电厂集控运行、新能源应用技术、电气自动化技术、电力系统自动化技术、</w:t>
      </w:r>
      <w:r>
        <w:rPr>
          <w:rFonts w:hint="eastAsia" w:asciiTheme="minorEastAsia" w:hAnsiTheme="minorEastAsia" w:eastAsiaTheme="minorEastAsia" w:cstheme="minorEastAsia"/>
          <w:b w:val="0"/>
          <w:bCs/>
          <w:sz w:val="30"/>
          <w:szCs w:val="30"/>
          <w:lang w:val="en-US" w:eastAsia="zh-CN"/>
        </w:rPr>
        <w:t>电厂化学、机电一体化、</w:t>
      </w:r>
      <w:r>
        <w:rPr>
          <w:rFonts w:hint="eastAsia" w:asciiTheme="minorEastAsia" w:hAnsiTheme="minorEastAsia" w:eastAsiaTheme="minorEastAsia" w:cstheme="minorEastAsia"/>
          <w:b w:val="0"/>
          <w:bCs/>
          <w:sz w:val="30"/>
          <w:szCs w:val="30"/>
          <w:lang w:eastAsia="zh-CN"/>
        </w:rPr>
        <w:t>电力系统继电保护与自动化、</w:t>
      </w:r>
      <w:r>
        <w:rPr>
          <w:rFonts w:hint="eastAsia" w:asciiTheme="minorEastAsia" w:hAnsiTheme="minorEastAsia" w:eastAsiaTheme="minorEastAsia" w:cstheme="minorEastAsia"/>
          <w:b w:val="0"/>
          <w:bCs/>
          <w:sz w:val="30"/>
          <w:szCs w:val="30"/>
          <w:lang w:val="en-US" w:eastAsia="zh-CN"/>
        </w:rPr>
        <w:t>电厂设备运行与维护、</w:t>
      </w:r>
      <w:r>
        <w:rPr>
          <w:rFonts w:hint="eastAsia" w:asciiTheme="minorEastAsia" w:hAnsiTheme="minorEastAsia" w:eastAsiaTheme="minorEastAsia" w:cstheme="minorEastAsia"/>
          <w:b w:val="0"/>
          <w:bCs/>
          <w:sz w:val="30"/>
          <w:szCs w:val="30"/>
          <w:lang w:eastAsia="zh-CN"/>
        </w:rPr>
        <w:t>发电厂及电力系统专业</w:t>
      </w:r>
      <w:r>
        <w:rPr>
          <w:rFonts w:hint="eastAsia" w:asciiTheme="minorEastAsia" w:hAnsiTheme="minorEastAsia" w:eastAsiaTheme="minorEastAsia" w:cstheme="minorEastAsia"/>
          <w:b w:val="0"/>
          <w:bCs/>
          <w:sz w:val="30"/>
          <w:szCs w:val="30"/>
          <w:lang w:val="en-US" w:eastAsia="zh-CN"/>
        </w:rPr>
        <w:t>等</w:t>
      </w:r>
      <w:r>
        <w:rPr>
          <w:rFonts w:hint="eastAsia" w:asciiTheme="minorEastAsia" w:hAnsiTheme="minorEastAsia" w:eastAsiaTheme="minorEastAsia" w:cstheme="minorEastAsia"/>
          <w:b w:val="0"/>
          <w:bCs/>
          <w:sz w:val="30"/>
          <w:szCs w:val="30"/>
          <w:lang w:eastAsia="zh-CN"/>
        </w:rPr>
        <w:t>。</w:t>
      </w:r>
    </w:p>
    <w:p w14:paraId="694E31E8">
      <w:pPr>
        <w:keepNext w:val="0"/>
        <w:keepLines w:val="0"/>
        <w:pageBreakBefore w:val="0"/>
        <w:kinsoku/>
        <w:wordWrap/>
        <w:overflowPunct/>
        <w:topLinePunct w:val="0"/>
        <w:autoSpaceDE/>
        <w:autoSpaceDN/>
        <w:bidi w:val="0"/>
        <w:adjustRightInd/>
        <w:snapToGrid/>
        <w:spacing w:line="600" w:lineRule="exact"/>
        <w:ind w:firstLine="570"/>
        <w:textAlignment w:val="auto"/>
        <w:rPr>
          <w:rFonts w:hint="eastAsia" w:asciiTheme="minorEastAsia" w:hAnsiTheme="minorEastAsia" w:eastAsiaTheme="minorEastAsia" w:cstheme="minorEastAsia"/>
          <w:b/>
          <w:sz w:val="32"/>
          <w:szCs w:val="32"/>
        </w:rPr>
      </w:pPr>
      <w:r>
        <w:rPr>
          <w:rFonts w:hint="eastAsia" w:asciiTheme="minorEastAsia" w:hAnsiTheme="minorEastAsia" w:cstheme="minorEastAsia"/>
          <w:b/>
          <w:sz w:val="32"/>
          <w:szCs w:val="32"/>
          <w:lang w:val="en-US" w:eastAsia="zh-CN"/>
        </w:rPr>
        <w:t>四、</w:t>
      </w:r>
      <w:r>
        <w:rPr>
          <w:rFonts w:hint="eastAsia" w:asciiTheme="minorEastAsia" w:hAnsiTheme="minorEastAsia" w:eastAsiaTheme="minorEastAsia" w:cstheme="minorEastAsia"/>
          <w:b/>
          <w:sz w:val="32"/>
          <w:szCs w:val="32"/>
        </w:rPr>
        <w:t>招聘基本要求</w:t>
      </w:r>
    </w:p>
    <w:p w14:paraId="60629F31">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88" w:firstLineChars="196"/>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1、全日制普通高校统招202</w:t>
      </w:r>
      <w:r>
        <w:rPr>
          <w:rFonts w:hint="eastAsia" w:asciiTheme="minorEastAsia" w:hAnsiTheme="minorEastAsia" w:eastAsiaTheme="minorEastAsia" w:cstheme="minorEastAsia"/>
          <w:sz w:val="30"/>
          <w:szCs w:val="30"/>
          <w:lang w:val="en-US" w:eastAsia="zh-CN"/>
        </w:rPr>
        <w:t>6</w:t>
      </w:r>
      <w:r>
        <w:rPr>
          <w:rFonts w:hint="eastAsia" w:asciiTheme="minorEastAsia" w:hAnsiTheme="minorEastAsia" w:eastAsiaTheme="minorEastAsia" w:cstheme="minorEastAsia"/>
          <w:sz w:val="30"/>
          <w:szCs w:val="30"/>
        </w:rPr>
        <w:t>应届毕业生，大专及以上学历；</w:t>
      </w:r>
    </w:p>
    <w:p w14:paraId="064AD12D">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88" w:firstLineChars="196"/>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专业知识扎实、有追求、学习能力强；</w:t>
      </w:r>
    </w:p>
    <w:p w14:paraId="531D7B1E">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88" w:firstLineChars="196"/>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t>、愿意加入环保能源行业，致力于从事生产运行、技术设备工作</w:t>
      </w:r>
      <w:r>
        <w:rPr>
          <w:rFonts w:hint="eastAsia" w:asciiTheme="minorEastAsia" w:hAnsiTheme="minorEastAsia" w:eastAsiaTheme="minorEastAsia" w:cstheme="minorEastAsia"/>
          <w:sz w:val="30"/>
          <w:szCs w:val="30"/>
          <w:lang w:eastAsia="zh-CN"/>
        </w:rPr>
        <w:t>；</w:t>
      </w:r>
    </w:p>
    <w:p w14:paraId="296AB675">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88" w:firstLineChars="196"/>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4、</w:t>
      </w:r>
      <w:r>
        <w:rPr>
          <w:rFonts w:hint="eastAsia" w:asciiTheme="minorEastAsia" w:hAnsiTheme="minorEastAsia" w:eastAsiaTheme="minorEastAsia" w:cstheme="minorEastAsia"/>
          <w:sz w:val="30"/>
          <w:szCs w:val="30"/>
        </w:rPr>
        <w:t>富有激情和主动性，具备良好的沟通和人际协调能力；</w:t>
      </w:r>
    </w:p>
    <w:p w14:paraId="3B6B1482">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00" w:firstLineChars="200"/>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5</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有较强的学习能力和执行力。诚实可信、富有团队合作精神，敢于创新、不断追求卓越；</w:t>
      </w:r>
    </w:p>
    <w:p w14:paraId="383FEC10">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00" w:firstLineChars="200"/>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6</w:t>
      </w:r>
      <w:r>
        <w:rPr>
          <w:rFonts w:hint="eastAsia" w:asciiTheme="minorEastAsia" w:hAnsiTheme="minorEastAsia" w:eastAsiaTheme="minorEastAsia" w:cstheme="minorEastAsia"/>
          <w:sz w:val="30"/>
          <w:szCs w:val="30"/>
        </w:rPr>
        <w:t>、身体健康、性格坚韧、吃苦耐劳、能适应倒班</w:t>
      </w:r>
      <w:r>
        <w:rPr>
          <w:rFonts w:hint="eastAsia" w:asciiTheme="minorEastAsia" w:hAnsiTheme="minorEastAsia" w:eastAsiaTheme="minorEastAsia" w:cstheme="minorEastAsia"/>
          <w:sz w:val="30"/>
          <w:szCs w:val="30"/>
          <w:lang w:eastAsia="zh-CN"/>
        </w:rPr>
        <w:t>；</w:t>
      </w:r>
    </w:p>
    <w:p w14:paraId="6015572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0" w:firstLineChars="200"/>
        <w:jc w:val="left"/>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lang w:val="en-US" w:eastAsia="zh-CN"/>
        </w:rPr>
        <w:t>7、服从公司安排，包括岗位调剂。</w:t>
      </w:r>
    </w:p>
    <w:p w14:paraId="299005F6">
      <w:pPr>
        <w:keepNext w:val="0"/>
        <w:keepLines w:val="0"/>
        <w:pageBreakBefore w:val="0"/>
        <w:kinsoku/>
        <w:wordWrap/>
        <w:overflowPunct/>
        <w:topLinePunct w:val="0"/>
        <w:autoSpaceDE/>
        <w:autoSpaceDN/>
        <w:bidi w:val="0"/>
        <w:adjustRightInd/>
        <w:snapToGrid/>
        <w:spacing w:line="600" w:lineRule="exact"/>
        <w:ind w:firstLine="570"/>
        <w:textAlignment w:val="auto"/>
        <w:rPr>
          <w:rFonts w:hint="eastAsia" w:asciiTheme="minorEastAsia" w:hAnsiTheme="minorEastAsia" w:eastAsiaTheme="minorEastAsia" w:cstheme="minorEastAsia"/>
          <w:b/>
          <w:sz w:val="32"/>
          <w:szCs w:val="32"/>
        </w:rPr>
      </w:pPr>
      <w:r>
        <w:rPr>
          <w:rFonts w:hint="eastAsia" w:asciiTheme="minorEastAsia" w:hAnsiTheme="minorEastAsia" w:cstheme="minorEastAsia"/>
          <w:b/>
          <w:sz w:val="32"/>
          <w:szCs w:val="32"/>
          <w:lang w:val="en-US" w:eastAsia="zh-CN"/>
        </w:rPr>
        <w:t>五、</w:t>
      </w:r>
      <w:r>
        <w:rPr>
          <w:rFonts w:hint="eastAsia" w:asciiTheme="minorEastAsia" w:hAnsiTheme="minorEastAsia" w:eastAsiaTheme="minorEastAsia" w:cstheme="minorEastAsia"/>
          <w:b/>
          <w:sz w:val="32"/>
          <w:szCs w:val="32"/>
        </w:rPr>
        <w:t>薪酬福利</w:t>
      </w:r>
    </w:p>
    <w:p w14:paraId="7F360C5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0" w:firstLineChars="200"/>
        <w:jc w:val="left"/>
        <w:textAlignment w:val="auto"/>
        <w:rPr>
          <w:rFonts w:hint="default"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工作地点: 江西省九江市都昌县；</w:t>
      </w:r>
    </w:p>
    <w:p w14:paraId="0F40C9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0" w:firstLineChars="200"/>
        <w:jc w:val="left"/>
        <w:textAlignment w:val="auto"/>
        <w:rPr>
          <w:rFonts w:hint="eastAsia" w:asciiTheme="minorEastAsia" w:hAnsiTheme="minorEastAsia" w:eastAsiaTheme="minorEastAsia" w:cstheme="minorEastAsia"/>
          <w:b w:val="0"/>
          <w:bCs w:val="0"/>
          <w:sz w:val="30"/>
          <w:szCs w:val="30"/>
          <w:lang w:val="en-US" w:eastAsia="zh-CN"/>
        </w:rPr>
      </w:pPr>
      <w:r>
        <w:rPr>
          <w:rFonts w:hint="default" w:asciiTheme="minorEastAsia" w:hAnsiTheme="minorEastAsia" w:eastAsiaTheme="minorEastAsia" w:cstheme="minorEastAsia"/>
          <w:b w:val="0"/>
          <w:bCs w:val="0"/>
          <w:sz w:val="30"/>
          <w:szCs w:val="30"/>
          <w:lang w:val="en-US" w:eastAsia="zh-CN"/>
        </w:rPr>
        <w:t>薪酬</w:t>
      </w:r>
      <w:r>
        <w:rPr>
          <w:rFonts w:hint="eastAsia" w:asciiTheme="minorEastAsia" w:hAnsiTheme="minorEastAsia" w:eastAsiaTheme="minorEastAsia" w:cstheme="minorEastAsia"/>
          <w:b w:val="0"/>
          <w:bCs w:val="0"/>
          <w:sz w:val="30"/>
          <w:szCs w:val="30"/>
          <w:lang w:val="en-US" w:eastAsia="zh-CN"/>
        </w:rPr>
        <w:t>范围</w:t>
      </w:r>
      <w:r>
        <w:rPr>
          <w:rFonts w:hint="default" w:asciiTheme="minorEastAsia" w:hAnsiTheme="minorEastAsia" w:eastAsiaTheme="minorEastAsia" w:cstheme="minorEastAsia"/>
          <w:b w:val="0"/>
          <w:bCs w:val="0"/>
          <w:sz w:val="30"/>
          <w:szCs w:val="30"/>
          <w:lang w:val="en-US" w:eastAsia="zh-CN"/>
        </w:rPr>
        <w:t>：</w:t>
      </w:r>
      <w:r>
        <w:rPr>
          <w:rFonts w:hint="eastAsia" w:asciiTheme="minorEastAsia" w:hAnsiTheme="minorEastAsia" w:eastAsiaTheme="minorEastAsia" w:cstheme="minorEastAsia"/>
          <w:b w:val="0"/>
          <w:bCs w:val="0"/>
          <w:sz w:val="30"/>
          <w:szCs w:val="30"/>
          <w:lang w:val="en-US" w:eastAsia="zh-CN"/>
        </w:rPr>
        <w:t>4000-6000元/月；</w:t>
      </w:r>
    </w:p>
    <w:p w14:paraId="695ECEC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0" w:firstLineChars="200"/>
        <w:jc w:val="left"/>
        <w:textAlignment w:val="auto"/>
        <w:rPr>
          <w:rFonts w:hint="default"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福利待遇: 五险一金、高温补贴、带薪年假等；</w:t>
      </w:r>
    </w:p>
    <w:p w14:paraId="4C03488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0" w:firstLineChars="200"/>
        <w:jc w:val="left"/>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生活保障: 提供员工宿舍、员工餐厅、无线网络，提供24小时热水和冷暖空调；</w:t>
      </w:r>
    </w:p>
    <w:p w14:paraId="7A6FB6D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0" w:firstLineChars="200"/>
        <w:jc w:val="left"/>
        <w:textAlignment w:val="auto"/>
        <w:rPr>
          <w:rFonts w:hint="eastAsia" w:ascii="华文仿宋" w:hAnsi="华文仿宋" w:eastAsia="华文仿宋"/>
          <w:b w:val="0"/>
          <w:bCs w:val="0"/>
          <w:sz w:val="28"/>
          <w:szCs w:val="28"/>
          <w:lang w:val="en-US" w:eastAsia="zh-CN"/>
        </w:rPr>
      </w:pPr>
      <w:r>
        <w:rPr>
          <w:rFonts w:hint="eastAsia" w:asciiTheme="minorEastAsia" w:hAnsiTheme="minorEastAsia" w:eastAsiaTheme="minorEastAsia" w:cstheme="minorEastAsia"/>
          <w:b w:val="0"/>
          <w:bCs w:val="0"/>
          <w:sz w:val="30"/>
          <w:szCs w:val="30"/>
          <w:lang w:val="en-US" w:eastAsia="zh-CN"/>
        </w:rPr>
        <w:t>职业发展: 国企平台、稳定发展、专业培训。</w:t>
      </w:r>
      <w:r>
        <w:rPr>
          <w:rFonts w:hint="eastAsia" w:ascii="华文仿宋" w:hAnsi="华文仿宋" w:eastAsia="华文仿宋"/>
          <w:b w:val="0"/>
          <w:bCs w:val="0"/>
          <w:sz w:val="28"/>
          <w:szCs w:val="28"/>
          <w:lang w:val="en-US" w:eastAsia="zh-CN"/>
        </w:rPr>
        <w:t xml:space="preserve"> </w:t>
      </w:r>
    </w:p>
    <w:p w14:paraId="3FC6A365">
      <w:pPr>
        <w:keepNext w:val="0"/>
        <w:keepLines w:val="0"/>
        <w:pageBreakBefore w:val="0"/>
        <w:kinsoku/>
        <w:wordWrap/>
        <w:overflowPunct/>
        <w:topLinePunct w:val="0"/>
        <w:autoSpaceDE/>
        <w:autoSpaceDN/>
        <w:bidi w:val="0"/>
        <w:adjustRightInd/>
        <w:snapToGrid/>
        <w:spacing w:line="600" w:lineRule="exact"/>
        <w:ind w:firstLine="570"/>
        <w:textAlignment w:val="auto"/>
        <w:rPr>
          <w:rFonts w:hint="eastAsia" w:asciiTheme="minorEastAsia" w:hAnsiTheme="minorEastAsia" w:eastAsiaTheme="minorEastAsia" w:cstheme="minorEastAsia"/>
          <w:b/>
          <w:sz w:val="32"/>
          <w:szCs w:val="32"/>
        </w:rPr>
      </w:pPr>
      <w:r>
        <w:rPr>
          <w:rFonts w:hint="eastAsia" w:asciiTheme="minorEastAsia" w:hAnsiTheme="minorEastAsia" w:cstheme="minorEastAsia"/>
          <w:b/>
          <w:sz w:val="32"/>
          <w:szCs w:val="32"/>
          <w:lang w:val="en-US" w:eastAsia="zh-CN"/>
        </w:rPr>
        <w:t>六、</w:t>
      </w:r>
      <w:r>
        <w:rPr>
          <w:rFonts w:hint="eastAsia" w:asciiTheme="minorEastAsia" w:hAnsiTheme="minorEastAsia" w:eastAsiaTheme="minorEastAsia" w:cstheme="minorEastAsia"/>
          <w:b/>
          <w:sz w:val="32"/>
          <w:szCs w:val="32"/>
        </w:rPr>
        <w:t>联系方式</w:t>
      </w:r>
    </w:p>
    <w:p w14:paraId="60BAE7E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0" w:firstLineChars="200"/>
        <w:jc w:val="left"/>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厂区地址：江西省九江市都昌县蔡岭镇蔡岭工业园庐山大道旁都昌县首创环保能源有限公司</w:t>
      </w:r>
    </w:p>
    <w:p w14:paraId="7C128756">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简历投递：liqiong4993@dingtalk.com</w:t>
      </w:r>
    </w:p>
    <w:p w14:paraId="2401720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200" w:firstLine="0" w:firstLineChars="0"/>
        <w:textAlignment w:val="auto"/>
        <w:rPr>
          <w:rFonts w:hint="eastAsia" w:asciiTheme="minorEastAsia" w:hAnsiTheme="minorEastAsia" w:eastAsiaTheme="minorEastAsia" w:cstheme="minorEastAsia"/>
          <w:b/>
          <w:sz w:val="32"/>
          <w:szCs w:val="32"/>
          <w:lang w:val="en-US" w:eastAsia="zh-CN"/>
        </w:rPr>
      </w:pPr>
      <w:r>
        <w:rPr>
          <w:rFonts w:hint="eastAsia" w:asciiTheme="minorEastAsia" w:hAnsiTheme="minorEastAsia" w:cstheme="minorEastAsia"/>
          <w:b/>
          <w:sz w:val="32"/>
          <w:szCs w:val="32"/>
          <w:lang w:val="en-US" w:eastAsia="zh-CN"/>
        </w:rPr>
        <w:t>七、</w:t>
      </w:r>
      <w:r>
        <w:rPr>
          <w:rFonts w:hint="eastAsia" w:asciiTheme="minorEastAsia" w:hAnsiTheme="minorEastAsia" w:eastAsiaTheme="minorEastAsia" w:cstheme="minorEastAsia"/>
          <w:b/>
          <w:sz w:val="32"/>
          <w:szCs w:val="32"/>
          <w:lang w:val="en-US" w:eastAsia="zh-CN"/>
        </w:rPr>
        <w:t>了解更多</w:t>
      </w:r>
    </w:p>
    <w:p w14:paraId="630C850E">
      <w:pPr>
        <w:keepNext w:val="0"/>
        <w:keepLines w:val="0"/>
        <w:pageBreakBefore w:val="0"/>
        <w:widowControl w:val="0"/>
        <w:kinsoku/>
        <w:wordWrap/>
        <w:overflowPunct/>
        <w:topLinePunct w:val="0"/>
        <w:autoSpaceDE/>
        <w:autoSpaceDN/>
        <w:bidi w:val="0"/>
        <w:adjustRightInd/>
        <w:snapToGrid/>
        <w:spacing w:line="600" w:lineRule="exact"/>
        <w:ind w:left="0" w:leftChars="0" w:firstLine="513" w:firstLineChars="171"/>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公司官网：</w:t>
      </w:r>
      <w:r>
        <w:rPr>
          <w:rFonts w:hint="eastAsia" w:asciiTheme="minorEastAsia" w:hAnsiTheme="minorEastAsia" w:eastAsiaTheme="minorEastAsia" w:cstheme="minorEastAsia"/>
          <w:sz w:val="30"/>
          <w:szCs w:val="30"/>
          <w:lang w:val="en-US" w:eastAsia="zh-CN"/>
        </w:rPr>
        <w:fldChar w:fldCharType="begin"/>
      </w:r>
      <w:r>
        <w:rPr>
          <w:rFonts w:hint="eastAsia" w:asciiTheme="minorEastAsia" w:hAnsiTheme="minorEastAsia" w:eastAsiaTheme="minorEastAsia" w:cstheme="minorEastAsia"/>
          <w:sz w:val="30"/>
          <w:szCs w:val="30"/>
          <w:lang w:val="en-US" w:eastAsia="zh-CN"/>
        </w:rPr>
        <w:instrText xml:space="preserve"> HYPERLINK "https://www.capitaleco-pro.com/" </w:instrText>
      </w:r>
      <w:r>
        <w:rPr>
          <w:rFonts w:hint="eastAsia" w:asciiTheme="minorEastAsia" w:hAnsiTheme="minorEastAsia" w:eastAsiaTheme="minorEastAsia" w:cstheme="minorEastAsia"/>
          <w:sz w:val="30"/>
          <w:szCs w:val="30"/>
          <w:lang w:val="en-US" w:eastAsia="zh-CN"/>
        </w:rPr>
        <w:fldChar w:fldCharType="separate"/>
      </w:r>
      <w:r>
        <w:rPr>
          <w:rFonts w:hint="eastAsia" w:asciiTheme="minorEastAsia" w:hAnsiTheme="minorEastAsia" w:eastAsiaTheme="minorEastAsia" w:cstheme="minorEastAsia"/>
          <w:sz w:val="30"/>
          <w:szCs w:val="30"/>
          <w:lang w:val="en-US" w:eastAsia="zh-CN"/>
        </w:rPr>
        <w:t>https://www.capitaleco-pro.com/</w:t>
      </w:r>
      <w:r>
        <w:rPr>
          <w:rFonts w:hint="eastAsia" w:asciiTheme="minorEastAsia" w:hAnsiTheme="minorEastAsia" w:eastAsiaTheme="minorEastAsia" w:cstheme="minorEastAsia"/>
          <w:sz w:val="30"/>
          <w:szCs w:val="30"/>
          <w:lang w:val="en-US" w:eastAsia="zh-CN"/>
        </w:rPr>
        <w:fldChar w:fldCharType="end"/>
      </w:r>
    </w:p>
    <w:p w14:paraId="2D8D237B">
      <w:pPr>
        <w:keepNext w:val="0"/>
        <w:keepLines w:val="0"/>
        <w:pageBreakBefore w:val="0"/>
        <w:widowControl w:val="0"/>
        <w:kinsoku/>
        <w:wordWrap/>
        <w:overflowPunct/>
        <w:topLinePunct w:val="0"/>
        <w:autoSpaceDE/>
        <w:autoSpaceDN/>
        <w:bidi w:val="0"/>
        <w:adjustRightInd/>
        <w:snapToGrid/>
        <w:spacing w:line="600" w:lineRule="exact"/>
        <w:ind w:left="0" w:leftChars="0" w:firstLine="513" w:firstLineChars="171"/>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企业微信公众号：首创环境</w:t>
      </w:r>
    </w:p>
    <w:sectPr>
      <w:headerReference r:id="rId3" w:type="default"/>
      <w:footerReference r:id="rId4" w:type="default"/>
      <w:pgSz w:w="11906" w:h="16838"/>
      <w:pgMar w:top="1304" w:right="1457" w:bottom="1077" w:left="1627" w:header="1304" w:footer="48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DD58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0DA4E9">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p w14:paraId="2C0DA4E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4EB32">
    <w:pPr>
      <w:pStyle w:val="3"/>
      <w:pBdr>
        <w:bottom w:val="none" w:color="auto" w:sz="0" w:space="1"/>
      </w:pBdr>
      <w:jc w:val="both"/>
      <w:rPr>
        <w:rFonts w:hint="eastAsia" w:ascii="仿宋" w:hAnsi="仿宋" w:eastAsia="仿宋" w:cs="仿宋"/>
        <w:b/>
        <w:bCs/>
        <w:color w:val="auto"/>
        <w:spacing w:val="6"/>
        <w:sz w:val="21"/>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YjA1NzI1ZWVhMzVjY2MwZWM2ZjE4ZGZmNGQyNDUifQ=="/>
    <w:docVar w:name="KSO_WPS_MARK_KEY" w:val="fdf20ecb-a6cb-4e73-8949-5fc065259de6"/>
  </w:docVars>
  <w:rsids>
    <w:rsidRoot w:val="002F0D3E"/>
    <w:rsid w:val="00005897"/>
    <w:rsid w:val="00020A29"/>
    <w:rsid w:val="00032159"/>
    <w:rsid w:val="000B3251"/>
    <w:rsid w:val="001C4FEA"/>
    <w:rsid w:val="00206C4A"/>
    <w:rsid w:val="00223046"/>
    <w:rsid w:val="002F0D3E"/>
    <w:rsid w:val="00341114"/>
    <w:rsid w:val="00360EF5"/>
    <w:rsid w:val="003823EF"/>
    <w:rsid w:val="0042682F"/>
    <w:rsid w:val="005255B2"/>
    <w:rsid w:val="0056724B"/>
    <w:rsid w:val="00576F4E"/>
    <w:rsid w:val="005A3260"/>
    <w:rsid w:val="00605256"/>
    <w:rsid w:val="006615D3"/>
    <w:rsid w:val="00676A3C"/>
    <w:rsid w:val="007F08AF"/>
    <w:rsid w:val="00805C00"/>
    <w:rsid w:val="00822567"/>
    <w:rsid w:val="008D1289"/>
    <w:rsid w:val="009B26CC"/>
    <w:rsid w:val="009D18BC"/>
    <w:rsid w:val="009D2F70"/>
    <w:rsid w:val="009E383C"/>
    <w:rsid w:val="00B24EB7"/>
    <w:rsid w:val="00B909CA"/>
    <w:rsid w:val="00C81B6F"/>
    <w:rsid w:val="00CB2784"/>
    <w:rsid w:val="00D556DE"/>
    <w:rsid w:val="00E061F4"/>
    <w:rsid w:val="00E15684"/>
    <w:rsid w:val="00E5026B"/>
    <w:rsid w:val="00ED34A0"/>
    <w:rsid w:val="00F908BB"/>
    <w:rsid w:val="00F90B53"/>
    <w:rsid w:val="00FD77F8"/>
    <w:rsid w:val="00FF3DFC"/>
    <w:rsid w:val="045419D2"/>
    <w:rsid w:val="05040349"/>
    <w:rsid w:val="09A00DFA"/>
    <w:rsid w:val="0FE4264A"/>
    <w:rsid w:val="10717588"/>
    <w:rsid w:val="139B08D4"/>
    <w:rsid w:val="146064A9"/>
    <w:rsid w:val="15242BB4"/>
    <w:rsid w:val="17341F68"/>
    <w:rsid w:val="17BE0F97"/>
    <w:rsid w:val="1B212358"/>
    <w:rsid w:val="1E6D03B7"/>
    <w:rsid w:val="1EFA2A95"/>
    <w:rsid w:val="20040DFF"/>
    <w:rsid w:val="22B07E84"/>
    <w:rsid w:val="22E320F7"/>
    <w:rsid w:val="243C0400"/>
    <w:rsid w:val="24931E5D"/>
    <w:rsid w:val="25352E74"/>
    <w:rsid w:val="26C77342"/>
    <w:rsid w:val="2B59041A"/>
    <w:rsid w:val="2D020FAA"/>
    <w:rsid w:val="2E311CEE"/>
    <w:rsid w:val="2EB272EC"/>
    <w:rsid w:val="30EF0B21"/>
    <w:rsid w:val="32184513"/>
    <w:rsid w:val="32546E92"/>
    <w:rsid w:val="34917488"/>
    <w:rsid w:val="35757F4F"/>
    <w:rsid w:val="37F544B3"/>
    <w:rsid w:val="3B600880"/>
    <w:rsid w:val="3B85227D"/>
    <w:rsid w:val="3BDA652C"/>
    <w:rsid w:val="3CE93DBA"/>
    <w:rsid w:val="441D5F6D"/>
    <w:rsid w:val="44506454"/>
    <w:rsid w:val="46F74436"/>
    <w:rsid w:val="471B426F"/>
    <w:rsid w:val="478F29A6"/>
    <w:rsid w:val="4C7B030A"/>
    <w:rsid w:val="4D100DF6"/>
    <w:rsid w:val="4ED52722"/>
    <w:rsid w:val="50C633C0"/>
    <w:rsid w:val="51051E45"/>
    <w:rsid w:val="523B1AF7"/>
    <w:rsid w:val="57A73440"/>
    <w:rsid w:val="57EA7FF9"/>
    <w:rsid w:val="58706086"/>
    <w:rsid w:val="5A14759D"/>
    <w:rsid w:val="5ABA1FB4"/>
    <w:rsid w:val="5B431D58"/>
    <w:rsid w:val="61A8045E"/>
    <w:rsid w:val="61FF7DA9"/>
    <w:rsid w:val="627B6E53"/>
    <w:rsid w:val="643A6DF2"/>
    <w:rsid w:val="659460F2"/>
    <w:rsid w:val="65990178"/>
    <w:rsid w:val="66D460EA"/>
    <w:rsid w:val="66F16E0E"/>
    <w:rsid w:val="684A343B"/>
    <w:rsid w:val="6B292965"/>
    <w:rsid w:val="6CFC10AE"/>
    <w:rsid w:val="6E2E5093"/>
    <w:rsid w:val="6E332544"/>
    <w:rsid w:val="6FD24231"/>
    <w:rsid w:val="71531941"/>
    <w:rsid w:val="71C22D1A"/>
    <w:rsid w:val="777E6D76"/>
    <w:rsid w:val="784B58A2"/>
    <w:rsid w:val="7CC017EF"/>
    <w:rsid w:val="7D21546F"/>
    <w:rsid w:val="7DB85F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Strong"/>
    <w:basedOn w:val="6"/>
    <w:qFormat/>
    <w:uiPriority w:val="22"/>
    <w:rPr>
      <w:b/>
      <w:bCs/>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BIOMAX</Company>
  <Pages>3</Pages>
  <Words>1036</Words>
  <Characters>1146</Characters>
  <Lines>6</Lines>
  <Paragraphs>1</Paragraphs>
  <TotalTime>5</TotalTime>
  <ScaleCrop>false</ScaleCrop>
  <LinksUpToDate>false</LinksUpToDate>
  <CharactersWithSpaces>1183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2015-03-30T06:21:00Z</dcterms:created>
  <dc:creator>TANGLIEKUN</dc:creator>
  <cp:lastModifiedBy>徐鹏程</cp:lastModifiedBy>
  <cp:lastPrinted>2023-06-26T07:41:00Z</cp:lastPrinted>
  <dcterms:modified xsi:type="dcterms:W3CDTF">2025-10-21T02:43:08Z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57FB074DD72248F4BB842B31D519F2E2_13</vt:lpwstr>
  </property>
  <property fmtid="{D5CDD505-2E9C-101B-9397-08002B2CF9AE}" pid="4" name="KSOTemplateDocerSaveRecord">
    <vt:lpwstr>eyJoZGlkIjoiODFkZTYxNzdlNTE4NzBmNGYwNjgyOWY5MTg2MTFkM2EiLCJ1c2VySWQiOiI5MjQ1OTc5MjYifQ==</vt:lpwstr>
  </property>
</Properties>
</file>