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B6EFF8">
      <w:pPr>
        <w:jc w:val="center"/>
        <w:rPr>
          <w:b/>
          <w:bCs/>
          <w:sz w:val="40"/>
          <w:szCs w:val="48"/>
        </w:rPr>
      </w:pPr>
      <w:r>
        <w:drawing>
          <wp:anchor distT="0" distB="0" distL="114300" distR="114300" simplePos="0" relativeHeight="251659264" behindDoc="0" locked="0" layoutInCell="1" allowOverlap="1">
            <wp:simplePos x="0" y="0"/>
            <wp:positionH relativeFrom="column">
              <wp:posOffset>27940</wp:posOffset>
            </wp:positionH>
            <wp:positionV relativeFrom="paragraph">
              <wp:posOffset>68580</wp:posOffset>
            </wp:positionV>
            <wp:extent cx="335280" cy="275590"/>
            <wp:effectExtent l="0" t="0" r="7620" b="10160"/>
            <wp:wrapSquare wrapText="bothSides"/>
            <wp:docPr id="99331" name="图片 7" descr="C:\Users\Administrator\AppData\Roaming\feiq\RichOle\123946718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31" name="图片 7" descr="C:\Users\Administrator\AppData\Roaming\feiq\RichOle\1239467186.bmp"/>
                    <pic:cNvPicPr>
                      <a:picLocks noChangeAspect="1" noChangeArrowheads="1"/>
                    </pic:cNvPicPr>
                  </pic:nvPicPr>
                  <pic:blipFill>
                    <a:blip r:embed="rId5" cstate="print"/>
                    <a:srcRect/>
                    <a:stretch>
                      <a:fillRect/>
                    </a:stretch>
                  </pic:blipFill>
                  <pic:spPr>
                    <a:xfrm>
                      <a:off x="0" y="0"/>
                      <a:ext cx="335280" cy="275590"/>
                    </a:xfrm>
                    <a:prstGeom prst="rect">
                      <a:avLst/>
                    </a:prstGeom>
                    <a:noFill/>
                    <a:ln w="9525">
                      <a:noFill/>
                      <a:miter lim="800000"/>
                      <a:headEnd/>
                      <a:tailEnd/>
                    </a:ln>
                  </pic:spPr>
                </pic:pic>
              </a:graphicData>
            </a:graphic>
          </wp:anchor>
        </w:drawing>
      </w:r>
      <w:r>
        <w:rPr>
          <w:rFonts w:hint="eastAsia"/>
          <w:b/>
          <w:bCs/>
          <w:sz w:val="40"/>
          <w:szCs w:val="48"/>
        </w:rPr>
        <w:t>南昌众悦电力工程设计有限公司招生简章</w:t>
      </w:r>
    </w:p>
    <w:p w14:paraId="42BEAF9B">
      <w:pPr>
        <w:jc w:val="center"/>
        <w:rPr>
          <w:b/>
          <w:bCs/>
          <w:sz w:val="40"/>
          <w:szCs w:val="48"/>
        </w:rPr>
      </w:pPr>
    </w:p>
    <w:p w14:paraId="6FCEA62E">
      <w:pPr>
        <w:spacing w:line="360" w:lineRule="auto"/>
        <w:rPr>
          <w:rFonts w:hint="eastAsia"/>
          <w:b/>
          <w:bCs/>
          <w:color w:val="FF0000"/>
          <w:sz w:val="36"/>
          <w:szCs w:val="44"/>
          <w:highlight w:val="none"/>
        </w:rPr>
      </w:pPr>
      <w:r>
        <w:rPr>
          <w:rFonts w:hint="eastAsia"/>
          <w:b/>
          <w:bCs/>
          <w:color w:val="FF0000"/>
          <w:sz w:val="36"/>
          <w:szCs w:val="44"/>
          <w:highlight w:val="none"/>
        </w:rPr>
        <w:t>公司简介:</w:t>
      </w:r>
    </w:p>
    <w:p w14:paraId="558D8A8E">
      <w:pPr>
        <w:spacing w:line="360" w:lineRule="auto"/>
        <w:ind w:firstLine="480" w:firstLineChars="200"/>
        <w:rPr>
          <w:rFonts w:hint="eastAsia"/>
          <w:sz w:val="24"/>
          <w:szCs w:val="32"/>
        </w:rPr>
      </w:pPr>
      <w:r>
        <w:rPr>
          <w:rFonts w:hint="eastAsia"/>
          <w:sz w:val="24"/>
          <w:szCs w:val="32"/>
        </w:rPr>
        <w:t>南昌众悦电力工程设计有限公司注册于南昌市高新区，具有独立法人资格。公司具有江西省南昌市城乡建设委员会颁发电力行业(送电工程、变电工程)专业乙级设计资质、专业乙级勘察资质和江西省工程咨询协会颁发工程咨询单位乙级资信资质；并通过了质量管理ISO 9001:2008体系认证、环境管理体系ISO 14001:2004认证和职业健康安全管理OHSAS 18001:2007体系认证的“三标认证”。</w:t>
      </w:r>
    </w:p>
    <w:p w14:paraId="418F11B5">
      <w:pPr>
        <w:spacing w:line="360" w:lineRule="auto"/>
        <w:ind w:firstLine="480" w:firstLineChars="200"/>
        <w:rPr>
          <w:rFonts w:hint="eastAsia"/>
          <w:sz w:val="24"/>
          <w:szCs w:val="32"/>
        </w:rPr>
      </w:pPr>
      <w:r>
        <w:rPr>
          <w:rFonts w:hint="eastAsia"/>
          <w:sz w:val="24"/>
          <w:szCs w:val="32"/>
        </w:rPr>
        <w:t>公司目前注册资金有500万元，在职人员近60人，是一支高素质、专业配套完整、技术力量雄厚的精锐队伍。公司设立了配网部、变电部、土建部、线路部、技经部、行政部、财务部等多个职能部门，各部门职责划分明确、分工合理;且配备注册电气工程师3人，一级注册结构工程师1人，二级注册结构工程师1人，二级注册建筑工程师1人，高级工程师6人，咨询工程师6人，以及电气、通信保护、电力系统、概预算和其它优秀技术人员。公司内配有先进的计算机网络、GPS全球定位仪、全站仪、大疆无人机、扫描仪、复印机、打印机、投影仪、汽车等设备；精良的机器设备、先进的设计技术，使我们能够承接并完成110kV及以下输变电工程设计。</w:t>
      </w:r>
    </w:p>
    <w:p w14:paraId="0726870E">
      <w:pPr>
        <w:spacing w:line="360" w:lineRule="auto"/>
        <w:ind w:firstLine="480" w:firstLineChars="200"/>
        <w:rPr>
          <w:rFonts w:hint="eastAsia"/>
          <w:sz w:val="24"/>
          <w:szCs w:val="32"/>
        </w:rPr>
      </w:pPr>
      <w:r>
        <w:rPr>
          <w:rFonts w:hint="eastAsia"/>
          <w:sz w:val="24"/>
          <w:szCs w:val="32"/>
        </w:rPr>
        <w:t>公司以设计出电力领域最佳解决方案为使命，秉承“专业、高效、创新”的企业精神，坚持“质量中求精品、管理中求效益、服务中求市场、创新中求发展”的企业方针。</w:t>
      </w:r>
    </w:p>
    <w:p w14:paraId="4D251039">
      <w:pPr>
        <w:spacing w:line="360" w:lineRule="auto"/>
        <w:ind w:firstLine="480" w:firstLineChars="200"/>
        <w:rPr>
          <w:rFonts w:hint="eastAsia"/>
          <w:sz w:val="24"/>
          <w:szCs w:val="32"/>
        </w:rPr>
      </w:pPr>
      <w:r>
        <w:rPr>
          <w:rFonts w:hint="eastAsia"/>
          <w:sz w:val="24"/>
          <w:szCs w:val="32"/>
        </w:rPr>
        <w:t>以服务电力建设为宗旨，努力提高设计水平，贯彻国家的基本建设方针和技术经济政策，十分注重与生产运行单位的实践经验和新的行业要求相结合，并及时吸纳新技术，力求做出切合实际、安全适用、技术先进、综合经济效益好的设计产品，为建设坚强的电网贡献一份力量。</w:t>
      </w:r>
    </w:p>
    <w:p w14:paraId="2641BE20">
      <w:pPr>
        <w:spacing w:line="360" w:lineRule="auto"/>
        <w:ind w:firstLine="480" w:firstLineChars="200"/>
        <w:rPr>
          <w:rFonts w:hint="eastAsia" w:eastAsiaTheme="minorEastAsia"/>
          <w:sz w:val="24"/>
          <w:szCs w:val="32"/>
          <w:lang w:val="en-US" w:eastAsia="zh-CN"/>
        </w:rPr>
      </w:pPr>
      <w:r>
        <w:rPr>
          <w:rFonts w:hint="eastAsia"/>
          <w:sz w:val="24"/>
          <w:szCs w:val="32"/>
        </w:rPr>
        <w:t>公司从成立至今设计业绩: 光伏接入系统工程、220kV（鳌溪）配套出线工程、110kV彬江变电站扩建工程、110kV大溪交35kV送出工程、35kV黄坑输变电工程、35kV付坊输变电工程、35kV苏溪输变电工程、35KV冷水坞输变电工程、35kV潭头输变电工程、35kV三坊输变电工程、35kV场南输变电工程、35KV湖云输变电工程；国网抚州(崇仁县、南城县、乐安县、宜黄县、临川等)供电公司、国网宜春(上高县、宜丰县、万载县、铜鼓县、袁州区、市辖)供电公司、国网上饶(弋阳、信州区等)供电公司、国网(泰和县、遂川县、安福县、永新县等)供电公司、国网赣州(宁都县、于都县、龙南县、大余县、上犹县、崇义县等)供电公司、国网赣西(高安市、丰城市等)供电公司、国网赣东北(都阳县、万年县等)供电公司等近40个县公司配网设计及数百个业扩设计任务</w:t>
      </w:r>
      <w:r>
        <w:rPr>
          <w:rFonts w:hint="eastAsia"/>
          <w:sz w:val="24"/>
          <w:szCs w:val="32"/>
          <w:lang w:eastAsia="zh-CN"/>
        </w:rPr>
        <w:t>。</w:t>
      </w:r>
    </w:p>
    <w:p w14:paraId="7710EE42">
      <w:pPr>
        <w:spacing w:line="360" w:lineRule="auto"/>
        <w:rPr>
          <w:b/>
          <w:bCs/>
          <w:color w:val="FF0000"/>
          <w:sz w:val="36"/>
          <w:szCs w:val="44"/>
          <w:highlight w:val="none"/>
        </w:rPr>
      </w:pPr>
      <w:r>
        <w:rPr>
          <w:rFonts w:hint="eastAsia"/>
          <w:b/>
          <w:bCs/>
          <w:color w:val="FF0000"/>
          <w:sz w:val="36"/>
          <w:szCs w:val="44"/>
          <w:highlight w:val="none"/>
        </w:rPr>
        <w:t>招生范围：</w:t>
      </w:r>
    </w:p>
    <w:p w14:paraId="19B0602E">
      <w:pPr>
        <w:numPr>
          <w:ilvl w:val="0"/>
          <w:numId w:val="1"/>
        </w:numPr>
        <w:spacing w:line="360" w:lineRule="auto"/>
        <w:rPr>
          <w:sz w:val="24"/>
          <w:szCs w:val="32"/>
        </w:rPr>
      </w:pPr>
      <w:r>
        <w:rPr>
          <w:rFonts w:hint="eastAsia"/>
          <w:b/>
          <w:bCs/>
          <w:sz w:val="24"/>
          <w:szCs w:val="32"/>
        </w:rPr>
        <w:t>岗位</w:t>
      </w:r>
      <w:r>
        <w:rPr>
          <w:rFonts w:hint="eastAsia"/>
          <w:sz w:val="24"/>
          <w:szCs w:val="32"/>
        </w:rPr>
        <w:t>：配网设计人员、变电一次设计人员、变电二次设计人员、变电土建设计人员、线路设计人员。</w:t>
      </w:r>
    </w:p>
    <w:p w14:paraId="59710287">
      <w:pPr>
        <w:spacing w:line="360" w:lineRule="auto"/>
        <w:rPr>
          <w:sz w:val="24"/>
          <w:szCs w:val="32"/>
        </w:rPr>
      </w:pPr>
      <w:r>
        <w:rPr>
          <w:rFonts w:hint="eastAsia"/>
          <w:sz w:val="24"/>
          <w:szCs w:val="32"/>
        </w:rPr>
        <w:t>2、岗位要求：</w:t>
      </w:r>
    </w:p>
    <w:p w14:paraId="3AF2AB8C">
      <w:pPr>
        <w:spacing w:line="360" w:lineRule="auto"/>
        <w:ind w:firstLine="482" w:firstLineChars="200"/>
        <w:rPr>
          <w:sz w:val="24"/>
          <w:szCs w:val="32"/>
        </w:rPr>
      </w:pPr>
      <w:r>
        <w:rPr>
          <w:rFonts w:hint="eastAsia"/>
          <w:b/>
          <w:bCs/>
          <w:sz w:val="24"/>
          <w:szCs w:val="32"/>
        </w:rPr>
        <w:t>专业要求</w:t>
      </w:r>
      <w:r>
        <w:rPr>
          <w:rFonts w:hint="eastAsia"/>
          <w:sz w:val="24"/>
          <w:szCs w:val="32"/>
        </w:rPr>
        <w:t>：电气工程及其自动化、机电保护及其自动化、高压输配电线路施工运行与维护、发电厂及电力系统、土木工程、工程造价、机电一体化和自动化</w:t>
      </w:r>
      <w:r>
        <w:rPr>
          <w:rFonts w:hint="eastAsia"/>
          <w:sz w:val="24"/>
          <w:szCs w:val="32"/>
          <w:lang w:eastAsia="zh-CN"/>
        </w:rPr>
        <w:t>、</w:t>
      </w:r>
      <w:r>
        <w:rPr>
          <w:rFonts w:hint="eastAsia"/>
          <w:sz w:val="24"/>
          <w:szCs w:val="32"/>
          <w:lang w:val="en-US" w:eastAsia="zh-CN"/>
        </w:rPr>
        <w:t>计算机</w:t>
      </w:r>
      <w:r>
        <w:rPr>
          <w:rFonts w:hint="eastAsia"/>
          <w:sz w:val="24"/>
          <w:szCs w:val="32"/>
        </w:rPr>
        <w:t>等</w:t>
      </w:r>
      <w:r>
        <w:rPr>
          <w:rFonts w:hint="eastAsia"/>
          <w:sz w:val="24"/>
          <w:szCs w:val="32"/>
          <w:lang w:val="en-US" w:eastAsia="zh-CN"/>
        </w:rPr>
        <w:t>专业</w:t>
      </w:r>
      <w:r>
        <w:rPr>
          <w:rFonts w:hint="eastAsia"/>
          <w:sz w:val="24"/>
          <w:szCs w:val="32"/>
        </w:rPr>
        <w:t>，其他理工科专业有意从事电力设计行业者条件符合也可录取。</w:t>
      </w:r>
    </w:p>
    <w:p w14:paraId="293CCAB9">
      <w:pPr>
        <w:spacing w:line="360" w:lineRule="auto"/>
        <w:ind w:firstLine="480" w:firstLineChars="200"/>
        <w:rPr>
          <w:sz w:val="24"/>
          <w:szCs w:val="32"/>
        </w:rPr>
      </w:pPr>
      <w:r>
        <w:rPr>
          <w:rFonts w:hint="eastAsia"/>
          <w:sz w:val="24"/>
          <w:szCs w:val="32"/>
        </w:rPr>
        <w:t>身体健康，个人素质良好，品行端正，有较强的沟通能力和团队协作能力；</w:t>
      </w:r>
    </w:p>
    <w:p w14:paraId="1D1F98FC">
      <w:pPr>
        <w:spacing w:line="360" w:lineRule="auto"/>
        <w:rPr>
          <w:sz w:val="24"/>
          <w:szCs w:val="32"/>
        </w:rPr>
      </w:pPr>
      <w:r>
        <w:rPr>
          <w:rFonts w:hint="eastAsia"/>
          <w:sz w:val="24"/>
          <w:szCs w:val="32"/>
        </w:rPr>
        <w:t>熟练CAD常用设计软件及相关办公软件的操作优先考虑；</w:t>
      </w:r>
    </w:p>
    <w:p w14:paraId="606E6C1D">
      <w:pPr>
        <w:spacing w:line="360" w:lineRule="auto"/>
        <w:ind w:firstLine="480" w:firstLineChars="200"/>
        <w:rPr>
          <w:sz w:val="24"/>
          <w:szCs w:val="32"/>
        </w:rPr>
      </w:pPr>
      <w:r>
        <w:rPr>
          <w:rFonts w:hint="eastAsia"/>
          <w:sz w:val="24"/>
          <w:szCs w:val="32"/>
        </w:rPr>
        <w:t>江西省</w:t>
      </w:r>
      <w:r>
        <w:rPr>
          <w:rFonts w:hint="eastAsia"/>
          <w:sz w:val="24"/>
          <w:szCs w:val="32"/>
          <w:lang w:eastAsia="zh-CN"/>
        </w:rPr>
        <w:t>，广东省，安徽省，三省</w:t>
      </w:r>
      <w:r>
        <w:rPr>
          <w:rFonts w:hint="eastAsia"/>
          <w:sz w:val="24"/>
          <w:szCs w:val="32"/>
        </w:rPr>
        <w:t>生源优先考虑。</w:t>
      </w:r>
    </w:p>
    <w:p w14:paraId="44C47B62">
      <w:pPr>
        <w:rPr>
          <w:sz w:val="24"/>
          <w:szCs w:val="32"/>
        </w:rPr>
      </w:pPr>
    </w:p>
    <w:p w14:paraId="4626BEDF">
      <w:pPr>
        <w:spacing w:line="360" w:lineRule="auto"/>
        <w:rPr>
          <w:rFonts w:hint="eastAsia"/>
          <w:b/>
          <w:bCs/>
          <w:color w:val="FF0000"/>
          <w:sz w:val="36"/>
          <w:szCs w:val="44"/>
          <w:highlight w:val="none"/>
        </w:rPr>
      </w:pPr>
      <w:r>
        <w:rPr>
          <w:rFonts w:hint="eastAsia"/>
          <w:b/>
          <w:bCs/>
          <w:color w:val="FF0000"/>
          <w:sz w:val="36"/>
          <w:szCs w:val="44"/>
          <w:highlight w:val="none"/>
        </w:rPr>
        <w:t>薪资福利：</w:t>
      </w:r>
    </w:p>
    <w:p w14:paraId="36CB2E96">
      <w:pPr>
        <w:numPr>
          <w:ilvl w:val="0"/>
          <w:numId w:val="2"/>
        </w:numPr>
        <w:spacing w:line="360" w:lineRule="auto"/>
        <w:rPr>
          <w:sz w:val="24"/>
          <w:szCs w:val="32"/>
        </w:rPr>
      </w:pPr>
      <w:r>
        <w:rPr>
          <w:rFonts w:hint="eastAsia"/>
          <w:sz w:val="24"/>
          <w:szCs w:val="32"/>
        </w:rPr>
        <w:t>公司设计人员薪资为</w:t>
      </w:r>
      <w:r>
        <w:rPr>
          <w:rFonts w:hint="eastAsia"/>
          <w:b/>
          <w:bCs/>
          <w:sz w:val="24"/>
          <w:szCs w:val="32"/>
        </w:rPr>
        <w:t>月薪+设计提成</w:t>
      </w:r>
      <w:r>
        <w:rPr>
          <w:rFonts w:hint="eastAsia"/>
          <w:sz w:val="24"/>
          <w:szCs w:val="32"/>
        </w:rPr>
        <w:t>模式</w:t>
      </w:r>
      <w:r>
        <w:rPr>
          <w:rFonts w:hint="eastAsia"/>
          <w:sz w:val="24"/>
          <w:szCs w:val="32"/>
          <w:lang w:val="en-US" w:eastAsia="zh-CN"/>
        </w:rPr>
        <w:t>;</w:t>
      </w:r>
    </w:p>
    <w:p w14:paraId="0AD696D7">
      <w:pPr>
        <w:numPr>
          <w:ilvl w:val="0"/>
          <w:numId w:val="2"/>
        </w:numPr>
        <w:spacing w:line="360" w:lineRule="auto"/>
        <w:rPr>
          <w:sz w:val="24"/>
          <w:szCs w:val="32"/>
        </w:rPr>
      </w:pPr>
      <w:r>
        <w:rPr>
          <w:rFonts w:hint="eastAsia"/>
          <w:sz w:val="24"/>
          <w:szCs w:val="32"/>
        </w:rPr>
        <w:t>公司提供良好的培训体系及发展平台；</w:t>
      </w:r>
    </w:p>
    <w:p w14:paraId="055E2E4C">
      <w:pPr>
        <w:spacing w:line="360" w:lineRule="auto"/>
        <w:rPr>
          <w:sz w:val="24"/>
          <w:szCs w:val="32"/>
        </w:rPr>
      </w:pPr>
      <w:r>
        <w:rPr>
          <w:rFonts w:hint="eastAsia"/>
          <w:sz w:val="24"/>
          <w:szCs w:val="32"/>
        </w:rPr>
        <w:t>3、公司为员工提供极具竞争力的薪酬待遇</w:t>
      </w:r>
      <w:r>
        <w:rPr>
          <w:rFonts w:hint="eastAsia"/>
          <w:sz w:val="24"/>
          <w:szCs w:val="32"/>
          <w:lang w:eastAsia="zh-CN"/>
        </w:rPr>
        <w:t>（主设</w:t>
      </w:r>
      <w:r>
        <w:rPr>
          <w:rFonts w:hint="eastAsia"/>
          <w:sz w:val="24"/>
          <w:szCs w:val="32"/>
          <w:lang w:val="en-US" w:eastAsia="zh-CN"/>
        </w:rPr>
        <w:t>15w，负责人20w）</w:t>
      </w:r>
      <w:r>
        <w:rPr>
          <w:rFonts w:hint="eastAsia"/>
          <w:sz w:val="24"/>
          <w:szCs w:val="32"/>
        </w:rPr>
        <w:t>；</w:t>
      </w:r>
    </w:p>
    <w:p w14:paraId="7DB15AF8">
      <w:pPr>
        <w:spacing w:line="360" w:lineRule="auto"/>
        <w:rPr>
          <w:sz w:val="24"/>
          <w:szCs w:val="32"/>
        </w:rPr>
      </w:pPr>
      <w:r>
        <w:rPr>
          <w:rFonts w:hint="eastAsia"/>
          <w:sz w:val="24"/>
          <w:szCs w:val="32"/>
        </w:rPr>
        <w:t>4、员工每年享有一次调薪的机会，执行“同岗统酬、多劳多得”的薪酬体系，并享有年</w:t>
      </w:r>
      <w:r>
        <w:rPr>
          <w:rFonts w:hint="eastAsia"/>
          <w:sz w:val="24"/>
          <w:szCs w:val="32"/>
          <w:lang w:eastAsia="zh-CN"/>
        </w:rPr>
        <w:t>度</w:t>
      </w:r>
      <w:r>
        <w:rPr>
          <w:rFonts w:hint="eastAsia"/>
          <w:sz w:val="24"/>
          <w:szCs w:val="32"/>
        </w:rPr>
        <w:t>奖金等待遇；</w:t>
      </w:r>
    </w:p>
    <w:p w14:paraId="2B503E6E">
      <w:pPr>
        <w:spacing w:line="360" w:lineRule="auto"/>
        <w:rPr>
          <w:sz w:val="24"/>
          <w:szCs w:val="32"/>
        </w:rPr>
      </w:pPr>
      <w:r>
        <w:rPr>
          <w:rFonts w:hint="eastAsia"/>
          <w:sz w:val="24"/>
          <w:szCs w:val="32"/>
        </w:rPr>
        <w:t>5、严格执行国家各项劳动法规，享受年休假、法定节假日等各类假期；</w:t>
      </w:r>
    </w:p>
    <w:p w14:paraId="07DE3F58">
      <w:pPr>
        <w:spacing w:line="360" w:lineRule="auto"/>
        <w:rPr>
          <w:sz w:val="24"/>
          <w:szCs w:val="32"/>
        </w:rPr>
      </w:pPr>
      <w:r>
        <w:rPr>
          <w:rFonts w:hint="eastAsia"/>
          <w:sz w:val="24"/>
          <w:szCs w:val="32"/>
        </w:rPr>
        <w:t>6、福利：公司在节假日会发放礼品或红包，每年一次外出旅游、体检等福利；</w:t>
      </w:r>
    </w:p>
    <w:p w14:paraId="7F1D7AE0">
      <w:pPr>
        <w:spacing w:line="360" w:lineRule="auto"/>
        <w:rPr>
          <w:sz w:val="24"/>
          <w:szCs w:val="32"/>
        </w:rPr>
      </w:pPr>
      <w:r>
        <w:rPr>
          <w:rFonts w:hint="eastAsia"/>
          <w:sz w:val="24"/>
          <w:szCs w:val="32"/>
        </w:rPr>
        <w:t>7、按国家规定为员工提供养老保险和团体意外险；</w:t>
      </w:r>
    </w:p>
    <w:p w14:paraId="5C2070F8">
      <w:pPr>
        <w:spacing w:line="360" w:lineRule="auto"/>
        <w:rPr>
          <w:sz w:val="24"/>
          <w:szCs w:val="32"/>
        </w:rPr>
      </w:pPr>
      <w:r>
        <w:rPr>
          <w:rFonts w:hint="eastAsia"/>
          <w:sz w:val="24"/>
          <w:szCs w:val="32"/>
        </w:rPr>
        <w:t>8、免费提供员工集体宿舍及工作餐。</w:t>
      </w:r>
    </w:p>
    <w:p w14:paraId="390C4EC4"/>
    <w:p w14:paraId="470EB74B"/>
    <w:p w14:paraId="3C0A4D0F">
      <w:pPr>
        <w:rPr>
          <w:rFonts w:hint="default" w:eastAsiaTheme="minorEastAsia"/>
          <w:b/>
          <w:sz w:val="24"/>
          <w:szCs w:val="32"/>
          <w:lang w:val="en-US" w:eastAsia="zh-CN"/>
        </w:rPr>
      </w:pPr>
      <w:r>
        <w:rPr>
          <w:rFonts w:hint="eastAsia"/>
          <w:b/>
          <w:sz w:val="24"/>
          <w:szCs w:val="32"/>
        </w:rPr>
        <w:t>联系人</w:t>
      </w:r>
      <w:r>
        <w:rPr>
          <w:rFonts w:hint="eastAsia"/>
          <w:b/>
          <w:sz w:val="24"/>
          <w:szCs w:val="32"/>
          <w:lang w:val="en-US" w:eastAsia="zh-CN"/>
        </w:rPr>
        <w:t>:朱昕怡</w:t>
      </w:r>
      <w:r>
        <w:rPr>
          <w:rFonts w:hint="eastAsia"/>
          <w:b/>
          <w:sz w:val="24"/>
          <w:szCs w:val="32"/>
        </w:rPr>
        <w:t xml:space="preserve">    联系电话：</w:t>
      </w:r>
      <w:r>
        <w:rPr>
          <w:rFonts w:hint="eastAsia"/>
          <w:b/>
          <w:sz w:val="24"/>
          <w:szCs w:val="32"/>
          <w:lang w:val="en-US" w:eastAsia="zh-CN"/>
        </w:rPr>
        <w:t>18970859215</w:t>
      </w:r>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D1B4C2">
    <w:pPr>
      <w:pStyle w:val="8"/>
      <w:rPr>
        <w:rFonts w:ascii="宋体" w:hAnsi="宋体"/>
        <w:b/>
        <w:szCs w:val="21"/>
        <w:lang w:eastAsia="zh-CN"/>
      </w:rPr>
    </w:pPr>
    <w:r>
      <w:rPr>
        <w:rFonts w:hint="eastAsia" w:ascii="宋体" w:hAnsi="宋体"/>
        <w:b/>
        <w:szCs w:val="21"/>
        <w:lang w:eastAsia="zh-CN"/>
      </w:rPr>
      <w:drawing>
        <wp:anchor distT="0" distB="0" distL="114300" distR="114300" simplePos="0" relativeHeight="251660288" behindDoc="0" locked="0" layoutInCell="1" allowOverlap="1">
          <wp:simplePos x="0" y="0"/>
          <wp:positionH relativeFrom="margin">
            <wp:posOffset>-460375</wp:posOffset>
          </wp:positionH>
          <wp:positionV relativeFrom="margin">
            <wp:posOffset>-504190</wp:posOffset>
          </wp:positionV>
          <wp:extent cx="338455" cy="233045"/>
          <wp:effectExtent l="0" t="0" r="4445" b="14605"/>
          <wp:wrapSquare wrapText="bothSides"/>
          <wp:docPr id="340"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图片 64"/>
                  <pic:cNvPicPr>
                    <a:picLocks noChangeAspect="1" noChangeArrowheads="1"/>
                  </pic:cNvPicPr>
                </pic:nvPicPr>
                <pic:blipFill>
                  <a:blip r:embed="rId1"/>
                  <a:srcRect/>
                  <a:stretch>
                    <a:fillRect/>
                  </a:stretch>
                </pic:blipFill>
                <pic:spPr>
                  <a:xfrm>
                    <a:off x="0" y="0"/>
                    <a:ext cx="338455" cy="233045"/>
                  </a:xfrm>
                  <a:prstGeom prst="rect">
                    <a:avLst/>
                  </a:prstGeom>
                  <a:noFill/>
                  <a:ln w="9525">
                    <a:noFill/>
                    <a:miter lim="800000"/>
                    <a:headEnd/>
                    <a:tailEnd/>
                  </a:ln>
                </pic:spPr>
              </pic:pic>
            </a:graphicData>
          </a:graphic>
        </wp:anchor>
      </w:drawing>
    </w:r>
    <w:r>
      <w:rPr>
        <w:rFonts w:hint="eastAsia" w:ascii="宋体" w:hAnsi="宋体"/>
        <w:b/>
        <w:szCs w:val="21"/>
      </w:rPr>
      <w:t>南昌众悦电力工程设计有限公司</w:t>
    </w:r>
    <w:r>
      <w:rPr>
        <w:rFonts w:hint="eastAsia" w:ascii="宋体" w:hAnsi="宋体"/>
        <w:b/>
        <w:szCs w:val="21"/>
        <w:lang w:eastAsia="zh-CN"/>
      </w:rPr>
      <w:t xml:space="preserve">                                           </w:t>
    </w:r>
    <w:r>
      <w:rPr>
        <w:rFonts w:ascii="宋体" w:hAnsi="宋体"/>
        <w:b/>
        <w:szCs w:val="21"/>
        <w:lang w:eastAsia="zh-CN"/>
      </w:rPr>
      <w:t xml:space="preserve">     </w:t>
    </w:r>
  </w:p>
  <w:p w14:paraId="5FEE9B26">
    <w:pPr>
      <w:pStyle w:val="3"/>
      <w:jc w:val="both"/>
    </w:pPr>
    <w:r>
      <w:rPr>
        <w:rFonts w:hint="eastAsia" w:ascii="宋体" w:hAnsi="宋体"/>
        <w:b/>
        <w:sz w:val="11"/>
        <w:szCs w:val="11"/>
      </w:rPr>
      <w:t>NANCHANG ZHONGYUE ELECTRICAL ENGINEERING DESIGN CO</w:t>
    </w:r>
    <w:r>
      <w:rPr>
        <w:rFonts w:hint="eastAsia" w:ascii="Microsoft JhengHei" w:hAnsi="Microsoft JhengHei" w:eastAsia="Microsoft JhengHei"/>
        <w:b/>
        <w:sz w:val="10"/>
        <w:szCs w:val="10"/>
      </w:rPr>
      <w:t>.,</w:t>
    </w:r>
    <w:r>
      <w:rPr>
        <w:rFonts w:hint="eastAsia" w:ascii="宋体" w:hAnsi="宋体"/>
        <w:b/>
        <w:sz w:val="11"/>
        <w:szCs w:val="11"/>
      </w:rPr>
      <w:t>LTD</w:t>
    </w:r>
    <w:r>
      <w:rPr>
        <w:rFonts w:hint="eastAsia" w:ascii="宋体" w:hAnsi="宋体"/>
        <w:b/>
        <w:szCs w:val="21"/>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EB6B98"/>
    <w:multiLevelType w:val="singleLevel"/>
    <w:tmpl w:val="C3EB6B98"/>
    <w:lvl w:ilvl="0" w:tentative="0">
      <w:start w:val="1"/>
      <w:numFmt w:val="decimal"/>
      <w:suff w:val="nothing"/>
      <w:lvlText w:val="%1、"/>
      <w:lvlJc w:val="left"/>
    </w:lvl>
  </w:abstractNum>
  <w:abstractNum w:abstractNumId="1">
    <w:nsid w:val="C8A29EB2"/>
    <w:multiLevelType w:val="singleLevel"/>
    <w:tmpl w:val="C8A29EB2"/>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FjZjYzMWRhMTJlOWI1NjUwNDE1NWJkMTYzOTdiNTcifQ=="/>
  </w:docVars>
  <w:rsids>
    <w:rsidRoot w:val="16A93422"/>
    <w:rsid w:val="003A1FD3"/>
    <w:rsid w:val="004419E8"/>
    <w:rsid w:val="006C46BD"/>
    <w:rsid w:val="007B3D91"/>
    <w:rsid w:val="007F2058"/>
    <w:rsid w:val="00951FDE"/>
    <w:rsid w:val="00B35262"/>
    <w:rsid w:val="00C23045"/>
    <w:rsid w:val="00CA1D75"/>
    <w:rsid w:val="00E5607E"/>
    <w:rsid w:val="10DE39E4"/>
    <w:rsid w:val="120A6475"/>
    <w:rsid w:val="135C44FB"/>
    <w:rsid w:val="153578EF"/>
    <w:rsid w:val="16A93422"/>
    <w:rsid w:val="175721AE"/>
    <w:rsid w:val="1B5D5B34"/>
    <w:rsid w:val="1C9E7816"/>
    <w:rsid w:val="24801EEA"/>
    <w:rsid w:val="291C56C0"/>
    <w:rsid w:val="2AE94174"/>
    <w:rsid w:val="3110687D"/>
    <w:rsid w:val="36D769CE"/>
    <w:rsid w:val="42573F1C"/>
    <w:rsid w:val="46BE5F5F"/>
    <w:rsid w:val="497C5C2B"/>
    <w:rsid w:val="4AB82CBC"/>
    <w:rsid w:val="4E735D07"/>
    <w:rsid w:val="51D72AF0"/>
    <w:rsid w:val="524F3113"/>
    <w:rsid w:val="581A7567"/>
    <w:rsid w:val="5AD44975"/>
    <w:rsid w:val="65C6040D"/>
    <w:rsid w:val="76152A4A"/>
    <w:rsid w:val="79932ACB"/>
    <w:rsid w:val="7D0A76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iPriority="99"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autoRedefine/>
    <w:qFormat/>
    <w:uiPriority w:val="0"/>
    <w:pPr>
      <w:tabs>
        <w:tab w:val="center" w:pos="4153"/>
        <w:tab w:val="right" w:pos="8306"/>
      </w:tabs>
      <w:snapToGrid w:val="0"/>
      <w:jc w:val="left"/>
    </w:pPr>
    <w:rPr>
      <w:sz w:val="18"/>
      <w:szCs w:val="18"/>
    </w:rPr>
  </w:style>
  <w:style w:type="paragraph" w:styleId="3">
    <w:name w:val="header"/>
    <w:basedOn w:val="1"/>
    <w:link w:val="6"/>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autoRedefine/>
    <w:qFormat/>
    <w:uiPriority w:val="0"/>
    <w:rPr>
      <w:kern w:val="2"/>
      <w:sz w:val="18"/>
      <w:szCs w:val="18"/>
    </w:rPr>
  </w:style>
  <w:style w:type="character" w:customStyle="1" w:styleId="7">
    <w:name w:val="页脚 Char"/>
    <w:basedOn w:val="5"/>
    <w:link w:val="2"/>
    <w:autoRedefine/>
    <w:qFormat/>
    <w:uiPriority w:val="0"/>
    <w:rPr>
      <w:kern w:val="2"/>
      <w:sz w:val="18"/>
      <w:szCs w:val="18"/>
    </w:rPr>
  </w:style>
  <w:style w:type="paragraph" w:customStyle="1" w:styleId="8">
    <w:name w:val="正文 New New New New New New New New New New New New New New New New New New New New New New New New New New New New New New New New New New New New New New New New New New New New New New New New"/>
    <w:autoRedefine/>
    <w:qFormat/>
    <w:uiPriority w:val="0"/>
    <w:pPr>
      <w:widowControl w:val="0"/>
      <w:suppressAutoHyphens/>
      <w:jc w:val="both"/>
    </w:pPr>
    <w:rPr>
      <w:rFonts w:ascii="Times New Roman" w:hAnsi="Times New Roman" w:eastAsia="宋体" w:cs="Times New Roman"/>
      <w:kern w:val="1"/>
      <w:sz w:val="21"/>
      <w:lang w:val="en-US" w:eastAsia="ar-SA"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Pages>
  <Words>1465</Words>
  <Characters>1564</Characters>
  <Lines>9</Lines>
  <Paragraphs>2</Paragraphs>
  <TotalTime>254</TotalTime>
  <ScaleCrop>false</ScaleCrop>
  <LinksUpToDate>false</LinksUpToDate>
  <CharactersWithSpaces>1572</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2020-11-09T02:56:00Z</dcterms:created>
  <dc:creator>Q</dc:creator>
  <cp:lastModifiedBy>Administrator</cp:lastModifiedBy>
  <dcterms:modified xsi:type="dcterms:W3CDTF">2025-07-18T03:12:45Z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350A82DA5822464F975CE94B9F7F4B86_13</vt:lpwstr>
  </property>
  <property fmtid="{D5CDD505-2E9C-101B-9397-08002B2CF9AE}" pid="4" name="KSOTemplateDocerSaveRecord">
    <vt:lpwstr>eyJoZGlkIjoiZThmMzg3MDliNjI4NzI5YzdhMzU5M2FkOWY5OTMxMDgifQ==</vt:lpwstr>
  </property>
</Properties>
</file>