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4" w:line="440" w:lineRule="exact"/>
        <w:jc w:val="center"/>
        <w:rPr>
          <w:rFonts w:hint="eastAsia" w:ascii="小标宋" w:hAnsi="小标宋" w:eastAsia="小标宋" w:cs="小标宋"/>
          <w:b/>
          <w:bCs/>
          <w:color w:val="000000" w:themeColor="text1"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color w:val="000000" w:themeColor="text1"/>
          <w:sz w:val="44"/>
          <w:szCs w:val="44"/>
        </w:rPr>
        <w:t>九</w:t>
      </w:r>
      <w:r>
        <w:rPr>
          <w:rFonts w:hint="eastAsia" w:ascii="小标宋" w:hAnsi="小标宋" w:eastAsia="小标宋" w:cs="小标宋"/>
          <w:b/>
          <w:bCs/>
          <w:color w:val="000000" w:themeColor="text1"/>
          <w:sz w:val="44"/>
          <w:szCs w:val="44"/>
        </w:rPr>
        <w:t>江萍钢钢铁有限公司</w:t>
      </w:r>
    </w:p>
    <w:p>
      <w:pPr>
        <w:spacing w:before="214" w:line="440" w:lineRule="exact"/>
        <w:jc w:val="center"/>
        <w:rPr>
          <w:rFonts w:hint="eastAsia" w:ascii="小标宋" w:hAnsi="小标宋" w:eastAsia="小标宋" w:cs="小标宋"/>
          <w:b/>
          <w:bCs/>
          <w:color w:val="000000" w:themeColor="text1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/>
          <w:bCs/>
          <w:color w:val="000000" w:themeColor="text1"/>
          <w:sz w:val="44"/>
          <w:szCs w:val="44"/>
        </w:rPr>
        <w:t>招聘</w:t>
      </w:r>
      <w:r>
        <w:rPr>
          <w:rFonts w:hint="eastAsia" w:ascii="小标宋" w:hAnsi="小标宋" w:eastAsia="小标宋" w:cs="小标宋"/>
          <w:b/>
          <w:bCs/>
          <w:color w:val="000000" w:themeColor="text1"/>
          <w:sz w:val="44"/>
          <w:szCs w:val="44"/>
          <w:lang w:val="en-US" w:eastAsia="zh-CN"/>
        </w:rPr>
        <w:t>简章</w:t>
      </w:r>
    </w:p>
    <w:p>
      <w:pPr>
        <w:spacing w:before="214" w:line="440" w:lineRule="exact"/>
        <w:jc w:val="center"/>
        <w:rPr>
          <w:rFonts w:ascii="小标宋" w:hAnsi="小标宋" w:eastAsia="小标宋" w:cs="小标宋"/>
          <w:b/>
          <w:bCs/>
          <w:color w:val="000000" w:themeColor="text1"/>
          <w:sz w:val="44"/>
          <w:szCs w:val="44"/>
        </w:rPr>
      </w:pPr>
    </w:p>
    <w:p>
      <w:pPr>
        <w:kinsoku/>
        <w:overflowPunct w:val="0"/>
        <w:spacing w:line="580" w:lineRule="atLeast"/>
        <w:ind w:firstLine="700" w:firstLineChars="200"/>
        <w:jc w:val="both"/>
        <w:rPr>
          <w:rFonts w:ascii="仿宋" w:hAnsi="仿宋" w:eastAsia="仿宋" w:cs="仿宋"/>
          <w:color w:val="000000" w:themeColor="text1"/>
          <w:spacing w:val="15"/>
          <w:sz w:val="32"/>
          <w:szCs w:val="32"/>
        </w:rPr>
      </w:pPr>
      <w:r>
        <w:rPr>
          <w:rFonts w:ascii="仿宋" w:hAnsi="仿宋" w:eastAsia="仿宋" w:cs="仿宋"/>
          <w:color w:val="000000" w:themeColor="text1"/>
          <w:spacing w:val="15"/>
          <w:sz w:val="32"/>
          <w:szCs w:val="32"/>
        </w:rPr>
        <w:t>辽</w:t>
      </w:r>
      <w:r>
        <w:rPr>
          <w:rFonts w:ascii="仿宋" w:hAnsi="仿宋" w:eastAsia="仿宋" w:cs="仿宋"/>
          <w:color w:val="000000" w:themeColor="text1"/>
          <w:spacing w:val="11"/>
          <w:sz w:val="32"/>
          <w:szCs w:val="32"/>
        </w:rPr>
        <w:t>宁方大集团实业有限公司（简称“方大集团”）是一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家以炭素、钢铁、医药、商业、航空五大板块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为核心的跨行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业、跨地区、多元化、具有较强国际竞争实力的大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型企业集</w:t>
      </w:r>
      <w:r>
        <w:rPr>
          <w:rFonts w:ascii="仿宋" w:hAnsi="仿宋" w:eastAsia="仿宋" w:cs="仿宋"/>
          <w:color w:val="000000" w:themeColor="text1"/>
          <w:spacing w:val="-2"/>
          <w:sz w:val="32"/>
          <w:szCs w:val="32"/>
        </w:rPr>
        <w:t>团。方大集团所属公司分布于北京、上海、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天津、辽宁、甘肃、江西</w:t>
      </w:r>
      <w:r>
        <w:rPr>
          <w:rFonts w:ascii="仿宋" w:hAnsi="仿宋" w:eastAsia="仿宋" w:cs="仿宋"/>
          <w:color w:val="000000" w:themeColor="text1"/>
          <w:spacing w:val="15"/>
          <w:sz w:val="32"/>
          <w:szCs w:val="32"/>
        </w:rPr>
        <w:t>、四川和海南等三十余个省、市、自治区，拥有员工近13万人。</w:t>
      </w:r>
      <w:r>
        <w:rPr>
          <w:rFonts w:hint="eastAsia" w:ascii="仿宋" w:hAnsi="仿宋" w:eastAsia="仿宋" w:cs="仿宋"/>
          <w:color w:val="000000" w:themeColor="text1"/>
          <w:spacing w:val="15"/>
          <w:sz w:val="32"/>
          <w:szCs w:val="32"/>
        </w:rPr>
        <w:t>近年来，方大集团用于开展公益慈善事业、脱贫攻坚、乡村振兴、履行社会责任等捐款和投入资金累计超过53亿元。近十年，方大集团相关福利政策费用支出超32亿元。</w:t>
      </w:r>
    </w:p>
    <w:p>
      <w:pPr>
        <w:kinsoku/>
        <w:overflowPunct w:val="0"/>
        <w:spacing w:line="580" w:lineRule="atLeast"/>
        <w:ind w:firstLine="668" w:firstLineChars="200"/>
        <w:jc w:val="both"/>
        <w:rPr>
          <w:color w:val="000000" w:themeColor="text1"/>
        </w:rPr>
        <w:sectPr>
          <w:footerReference r:id="rId3" w:type="default"/>
          <w:pgSz w:w="11907" w:h="16839"/>
          <w:pgMar w:top="1431" w:right="662" w:bottom="1374" w:left="750" w:header="0" w:footer="1210" w:gutter="0"/>
          <w:cols w:space="720" w:num="1"/>
        </w:sectPr>
      </w:pPr>
      <w:r>
        <w:rPr>
          <w:rFonts w:ascii="仿宋" w:hAnsi="仿宋" w:eastAsia="仿宋" w:cs="仿宋"/>
          <w:color w:val="000000" w:themeColor="text1"/>
          <w:spacing w:val="7"/>
          <w:sz w:val="32"/>
          <w:szCs w:val="32"/>
        </w:rPr>
        <w:t>九</w:t>
      </w:r>
      <w:r>
        <w:rPr>
          <w:rFonts w:ascii="仿宋" w:hAnsi="仿宋" w:eastAsia="仿宋" w:cs="仿宋"/>
          <w:color w:val="000000" w:themeColor="text1"/>
          <w:spacing w:val="5"/>
          <w:sz w:val="32"/>
          <w:szCs w:val="32"/>
        </w:rPr>
        <w:t>江萍钢钢铁有限公司（简称九江钢铁）是方大集团下</w:t>
      </w:r>
      <w:r>
        <w:rPr>
          <w:rFonts w:ascii="仿宋" w:hAnsi="仿宋" w:eastAsia="仿宋" w:cs="仿宋"/>
          <w:color w:val="000000" w:themeColor="text1"/>
          <w:spacing w:val="-10"/>
          <w:sz w:val="32"/>
          <w:szCs w:val="32"/>
        </w:rPr>
        <w:t>属</w:t>
      </w:r>
      <w:r>
        <w:rPr>
          <w:rFonts w:hint="eastAsia" w:ascii="仿宋" w:hAnsi="仿宋" w:eastAsia="仿宋" w:cs="仿宋"/>
          <w:color w:val="000000" w:themeColor="text1"/>
          <w:spacing w:val="-10"/>
          <w:sz w:val="32"/>
          <w:szCs w:val="32"/>
        </w:rPr>
        <w:t>钢铁板块企业</w:t>
      </w:r>
      <w:r>
        <w:rPr>
          <w:rFonts w:ascii="仿宋" w:hAnsi="仿宋" w:eastAsia="仿宋" w:cs="仿宋"/>
          <w:color w:val="000000" w:themeColor="text1"/>
          <w:spacing w:val="-5"/>
          <w:sz w:val="32"/>
          <w:szCs w:val="32"/>
        </w:rPr>
        <w:t>，是一家集烧结、</w:t>
      </w:r>
      <w:r>
        <w:rPr>
          <w:rFonts w:ascii="仿宋" w:hAnsi="仿宋" w:eastAsia="仿宋" w:cs="仿宋"/>
          <w:color w:val="000000" w:themeColor="text1"/>
          <w:spacing w:val="-6"/>
          <w:sz w:val="32"/>
          <w:szCs w:val="32"/>
        </w:rPr>
        <w:t>炼铁、</w:t>
      </w:r>
      <w:r>
        <w:rPr>
          <w:rFonts w:ascii="仿宋" w:hAnsi="仿宋" w:eastAsia="仿宋" w:cs="仿宋"/>
          <w:color w:val="000000" w:themeColor="text1"/>
          <w:spacing w:val="-4"/>
          <w:sz w:val="32"/>
          <w:szCs w:val="32"/>
        </w:rPr>
        <w:t>炼</w:t>
      </w:r>
      <w:r>
        <w:rPr>
          <w:rFonts w:ascii="仿宋" w:hAnsi="仿宋" w:eastAsia="仿宋" w:cs="仿宋"/>
          <w:color w:val="000000" w:themeColor="text1"/>
          <w:spacing w:val="-3"/>
          <w:sz w:val="32"/>
          <w:szCs w:val="32"/>
        </w:rPr>
        <w:t>钢、轧材生产工艺于一体，具有年产钢超550万吨能</w:t>
      </w:r>
      <w:r>
        <w:rPr>
          <w:rFonts w:ascii="仿宋" w:hAnsi="仿宋" w:eastAsia="仿宋" w:cs="仿宋"/>
          <w:color w:val="000000" w:themeColor="text1"/>
          <w:spacing w:val="-12"/>
          <w:sz w:val="32"/>
          <w:szCs w:val="32"/>
        </w:rPr>
        <w:t>力的钢</w:t>
      </w:r>
      <w:r>
        <w:rPr>
          <w:rFonts w:ascii="仿宋" w:hAnsi="仿宋" w:eastAsia="仿宋" w:cs="仿宋"/>
          <w:color w:val="000000" w:themeColor="text1"/>
          <w:spacing w:val="-7"/>
          <w:sz w:val="32"/>
          <w:szCs w:val="32"/>
        </w:rPr>
        <w:t>铁</w:t>
      </w:r>
      <w:r>
        <w:rPr>
          <w:rFonts w:ascii="仿宋" w:hAnsi="仿宋" w:eastAsia="仿宋" w:cs="仿宋"/>
          <w:color w:val="000000" w:themeColor="text1"/>
          <w:spacing w:val="-6"/>
          <w:sz w:val="32"/>
          <w:szCs w:val="32"/>
        </w:rPr>
        <w:t>联合企业，坐落于江西省九江市湖口高新技术产业</w:t>
      </w:r>
      <w:r>
        <w:rPr>
          <w:rFonts w:ascii="仿宋" w:hAnsi="仿宋" w:eastAsia="仿宋" w:cs="仿宋"/>
          <w:color w:val="000000" w:themeColor="text1"/>
          <w:spacing w:val="-17"/>
          <w:sz w:val="32"/>
          <w:szCs w:val="32"/>
        </w:rPr>
        <w:t>园</w:t>
      </w:r>
      <w:r>
        <w:rPr>
          <w:rFonts w:ascii="仿宋" w:hAnsi="仿宋" w:eastAsia="仿宋" w:cs="仿宋"/>
          <w:color w:val="000000" w:themeColor="text1"/>
          <w:spacing w:val="-12"/>
          <w:sz w:val="32"/>
          <w:szCs w:val="32"/>
        </w:rPr>
        <w:t>区，北衔长江黄金水道，西连鄱阳湖口，南靠铜九铁路和九景高</w:t>
      </w:r>
      <w:r>
        <w:rPr>
          <w:rFonts w:ascii="仿宋" w:hAnsi="仿宋" w:eastAsia="仿宋" w:cs="仿宋"/>
          <w:color w:val="000000" w:themeColor="text1"/>
          <w:spacing w:val="-7"/>
          <w:sz w:val="32"/>
          <w:szCs w:val="32"/>
        </w:rPr>
        <w:t>速</w:t>
      </w:r>
      <w:r>
        <w:rPr>
          <w:rFonts w:ascii="仿宋" w:hAnsi="仿宋" w:eastAsia="仿宋" w:cs="仿宋"/>
          <w:color w:val="000000" w:themeColor="text1"/>
          <w:spacing w:val="-6"/>
          <w:sz w:val="32"/>
          <w:szCs w:val="32"/>
        </w:rPr>
        <w:t>，东接彭泽县至安徽省，交通区位优势显著。公司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致力于打造中国最具竞争力的建筑用材精品生产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基地和工业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旅游区。公司坚持改革创新、精细化管理，借助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灵活的“赛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马”机制激发企业活力，全面建设生态森林旅游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式</w:t>
      </w:r>
      <w:r>
        <w:rPr>
          <w:rFonts w:ascii="仿宋" w:hAnsi="仿宋" w:eastAsia="仿宋" w:cs="仿宋"/>
          <w:color w:val="auto"/>
          <w:sz w:val="32"/>
          <w:szCs w:val="32"/>
        </w:rPr>
        <w:t>工厂并获</w:t>
      </w:r>
      <w:r>
        <w:rPr>
          <w:rFonts w:ascii="仿宋" w:hAnsi="仿宋" w:eastAsia="仿宋" w:cs="仿宋"/>
          <w:color w:val="auto"/>
          <w:spacing w:val="-30"/>
          <w:sz w:val="32"/>
          <w:szCs w:val="32"/>
        </w:rPr>
        <w:t>评</w:t>
      </w:r>
      <w:r>
        <w:rPr>
          <w:rFonts w:ascii="仿宋" w:hAnsi="仿宋" w:eastAsia="仿宋" w:cs="仿宋"/>
          <w:color w:val="auto"/>
          <w:spacing w:val="-21"/>
          <w:sz w:val="32"/>
          <w:szCs w:val="32"/>
        </w:rPr>
        <w:t>国</w:t>
      </w:r>
      <w:r>
        <w:rPr>
          <w:rFonts w:ascii="仿宋" w:hAnsi="仿宋" w:eastAsia="仿宋" w:cs="仿宋"/>
          <w:color w:val="auto"/>
          <w:spacing w:val="-15"/>
          <w:sz w:val="32"/>
          <w:szCs w:val="32"/>
        </w:rPr>
        <w:t>家3A级旅游景区，实现了经济、生态、社会效益的多赢</w:t>
      </w:r>
      <w:r>
        <w:rPr>
          <w:rFonts w:ascii="仿宋" w:hAnsi="仿宋" w:eastAsia="仿宋" w:cs="仿宋"/>
          <w:color w:val="000000" w:themeColor="text1"/>
          <w:spacing w:val="-15"/>
          <w:sz w:val="32"/>
          <w:szCs w:val="32"/>
        </w:rPr>
        <w:t>。</w:t>
      </w:r>
      <w:r>
        <w:rPr>
          <w:rFonts w:ascii="仿宋" w:hAnsi="仿宋" w:eastAsia="仿宋" w:cs="仿宋"/>
          <w:color w:val="000000" w:themeColor="text1"/>
          <w:spacing w:val="-14"/>
          <w:sz w:val="32"/>
          <w:szCs w:val="32"/>
        </w:rPr>
        <w:t>公</w:t>
      </w:r>
      <w:r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  <w:t>司202</w:t>
      </w: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2</w:t>
      </w:r>
      <w:r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  <w:t>年实现销售收入超过</w:t>
      </w: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270</w:t>
      </w:r>
      <w:r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  <w:t>亿元，</w:t>
      </w: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员工人均年收入12</w:t>
      </w:r>
      <w:r>
        <w:rPr>
          <w:rFonts w:hint="eastAsia" w:ascii="仿宋" w:hAnsi="仿宋" w:eastAsia="仿宋" w:cs="仿宋"/>
          <w:color w:val="000000" w:themeColor="text1"/>
          <w:spacing w:val="-1"/>
          <w:sz w:val="32"/>
          <w:szCs w:val="32"/>
        </w:rPr>
        <w:t>万元左右（不含中高层干部），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企业责任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、诚信的形象受到社</w:t>
      </w:r>
      <w:r>
        <w:rPr>
          <w:rFonts w:ascii="仿宋" w:hAnsi="仿宋" w:eastAsia="仿宋" w:cs="仿宋"/>
          <w:color w:val="000000" w:themeColor="text1"/>
          <w:spacing w:val="-2"/>
          <w:sz w:val="32"/>
          <w:szCs w:val="32"/>
        </w:rPr>
        <w:t>会各界一致好评，社会影响力与美誉度进</w:t>
      </w:r>
      <w:r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  <w:t>一步提升。</w:t>
      </w:r>
    </w:p>
    <w:p>
      <w:pPr>
        <w:spacing w:line="360" w:lineRule="auto"/>
        <w:ind w:firstLine="608" w:firstLineChars="200"/>
        <w:jc w:val="both"/>
        <w:rPr>
          <w:rFonts w:ascii="仿宋" w:hAnsi="仿宋" w:eastAsia="仿宋" w:cs="仿宋"/>
          <w:color w:val="000000" w:themeColor="text1"/>
          <w:spacing w:val="-1"/>
          <w:sz w:val="32"/>
          <w:szCs w:val="32"/>
        </w:rPr>
      </w:pPr>
      <w:r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  <w:t>现因企业发展需要，拟招聘2023</w:t>
      </w: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年全日制应届大专及以上院校毕业生，具体事项如下：</w:t>
      </w:r>
    </w:p>
    <w:p>
      <w:pPr>
        <w:spacing w:line="360" w:lineRule="auto"/>
        <w:ind w:firstLine="627" w:firstLineChars="200"/>
        <w:outlineLvl w:val="0"/>
        <w:rPr>
          <w:rFonts w:ascii="仿宋" w:hAnsi="仿宋" w:eastAsia="仿宋" w:cs="仿宋"/>
          <w:b/>
          <w:bCs/>
          <w:color w:val="000000" w:themeColor="text1"/>
          <w:spacing w:val="-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-4"/>
          <w:sz w:val="32"/>
          <w:szCs w:val="32"/>
        </w:rPr>
        <w:t>一、招聘岗位、人数及条件</w:t>
      </w:r>
    </w:p>
    <w:tbl>
      <w:tblPr>
        <w:tblStyle w:val="5"/>
        <w:tblW w:w="10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185"/>
        <w:gridCol w:w="709"/>
        <w:gridCol w:w="5458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53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 w:themeColor="text1"/>
                <w:sz w:val="24"/>
                <w:szCs w:val="24"/>
              </w:rPr>
              <w:t>岗位或专业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5458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招聘条件</w:t>
            </w:r>
          </w:p>
        </w:tc>
        <w:tc>
          <w:tcPr>
            <w:tcW w:w="2346" w:type="dxa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53" w:type="dxa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电力系统相关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5458" w:type="dxa"/>
            <w:vAlign w:val="center"/>
          </w:tcPr>
          <w:p>
            <w:pPr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岁以下，大专及以上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力系统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相关专业。</w:t>
            </w:r>
          </w:p>
        </w:tc>
        <w:tc>
          <w:tcPr>
            <w:tcW w:w="234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关键岗位后备人才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53" w:type="dxa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热能电力专业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5458" w:type="dxa"/>
            <w:vAlign w:val="center"/>
          </w:tcPr>
          <w:p>
            <w:pPr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岁以下，大专及以上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，发电与电力运行、热能动力、电力自动化相关专业。</w:t>
            </w:r>
          </w:p>
        </w:tc>
        <w:tc>
          <w:tcPr>
            <w:tcW w:w="234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53" w:type="dxa"/>
            <w:vAlign w:val="center"/>
          </w:tcPr>
          <w:p>
            <w:pPr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计算机专业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5458" w:type="dxa"/>
            <w:vAlign w:val="center"/>
          </w:tcPr>
          <w:p>
            <w:pPr>
              <w:textAlignment w:val="center"/>
              <w:rPr>
                <w:rFonts w:ascii="仿宋" w:hAnsi="仿宋" w:eastAsia="仿宋" w:cs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岁以下，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大专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及以上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，计算机、软件工程相关专业。</w:t>
            </w:r>
          </w:p>
        </w:tc>
        <w:tc>
          <w:tcPr>
            <w:tcW w:w="234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  <w:szCs w:val="24"/>
              </w:rPr>
            </w:pPr>
          </w:p>
        </w:tc>
      </w:tr>
    </w:tbl>
    <w:p>
      <w:pPr>
        <w:widowControl w:val="0"/>
        <w:kinsoku/>
        <w:overflowPunct w:val="0"/>
        <w:spacing w:line="360" w:lineRule="auto"/>
        <w:ind w:firstLine="643" w:firstLineChars="200"/>
        <w:jc w:val="both"/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二、报名时间和地点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（一）报名时间：2023年3月23日开始，每天上午8：00～12：00，下午13：30～17：30。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（二）报名地点：江西省九江市湖口高新技术产业园区（金砂湾）九江钢铁职工宿舍文体中心右侧培训室，外地人员可通过微信联系报名。</w:t>
      </w:r>
    </w:p>
    <w:p>
      <w:pPr>
        <w:widowControl w:val="0"/>
        <w:kinsoku/>
        <w:overflowPunct w:val="0"/>
        <w:spacing w:line="360" w:lineRule="auto"/>
        <w:ind w:firstLine="643" w:firstLineChars="200"/>
        <w:jc w:val="both"/>
        <w:rPr>
          <w:rFonts w:ascii="仿宋" w:hAnsi="仿宋" w:eastAsia="仿宋"/>
          <w:b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>三、录用方式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参加笔试、面试和专业体能测试后择优录取，与公司签订就业协议，毕业后到公司报到（计划在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3年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、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月份），体检合格者与公司签订劳动合同，试用期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个月。</w:t>
      </w:r>
    </w:p>
    <w:p>
      <w:pPr>
        <w:widowControl w:val="0"/>
        <w:kinsoku/>
        <w:overflowPunct w:val="0"/>
        <w:spacing w:line="360" w:lineRule="auto"/>
        <w:ind w:firstLine="643" w:firstLineChars="200"/>
        <w:jc w:val="both"/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四、薪酬待遇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</w:rPr>
        <w:t>按岗位确定薪酬标准，试用期执行同岗位岗薪标准的80%，试用期考核合格转正后按同岗位岗薪标准执行。</w:t>
      </w:r>
    </w:p>
    <w:p>
      <w:pPr>
        <w:widowControl w:val="0"/>
        <w:kinsoku/>
        <w:overflowPunct w:val="0"/>
        <w:spacing w:line="360" w:lineRule="auto"/>
        <w:ind w:firstLine="643" w:firstLineChars="200"/>
        <w:jc w:val="both"/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五、按公司规定享受以下福利待遇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（一）公司依法依规为员工缴纳五险一金。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（二）公司员工按规定享受“基本工资增长”福利和“孝敬父母金”福利。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（三）公司员工及父母、配偶、子女按规定享受医保范围内个人自付部分全额医疗资助报销。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（四）公司设立“方威励志奖学金”，员工子女考入中国前20名或世界前50名大学就读本科按规定给予奖学金和生活费资助。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（五）公司提供免费工作餐、手机话费福利、生日礼物。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（六）公司员工每年享受一次免费健康体检和职业健康体检。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（七）公司退休员工具备条件可享受“方大养老金”福利。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（八）其中应届大专及以上院校毕业生安排单人间宿舍，内配空调、彩电、热水器、卫生间等设施；试用期转正后按规定报销到公司路费、入职体检费。</w:t>
      </w:r>
    </w:p>
    <w:p>
      <w:pPr>
        <w:widowControl w:val="0"/>
        <w:kinsoku/>
        <w:overflowPunct w:val="0"/>
        <w:spacing w:line="360" w:lineRule="auto"/>
        <w:ind w:firstLine="643" w:firstLineChars="200"/>
        <w:jc w:val="both"/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六、其他事项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（一）报名者应认真、如实填写应聘登记表，并提供真实的报名证件及材料，包括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本人有效身份证、就业推荐表、技能等级证、毕业证（如有）、户口簿原件及复印件1份、近期免冠一寸彩照2张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对有意隐瞒相关情况、提供虚假证件及材料、冒用他人身份信息、提供虚假出生年龄等弄虚作假行为参加招聘的，一经查实，公司有权依法取消录用资格，直至解除劳动合同。</w:t>
      </w:r>
    </w:p>
    <w:p>
      <w:pPr>
        <w:widowControl w:val="0"/>
        <w:kinsoku/>
        <w:overflowPunct w:val="0"/>
        <w:spacing w:line="360" w:lineRule="auto"/>
        <w:ind w:firstLine="640" w:firstLineChars="200"/>
        <w:jc w:val="both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（二）公司</w:t>
      </w:r>
      <w:r>
        <w:rPr>
          <w:rFonts w:ascii="仿宋" w:hAnsi="仿宋" w:eastAsia="仿宋" w:cs="仿宋"/>
          <w:color w:val="000000" w:themeColor="text1"/>
          <w:sz w:val="32"/>
          <w:szCs w:val="32"/>
        </w:rPr>
        <w:t>在招聘过程中不收取报名费、中介费、手续费、资料费等任何费用，请应聘者谨防受骗。对于发布虚假招聘信息或在招聘中牟取任何利益的个人或机构，公司保留追究法律责任的权利。</w:t>
      </w:r>
    </w:p>
    <w:p>
      <w:pPr>
        <w:widowControl w:val="0"/>
        <w:kinsoku/>
        <w:overflowPunct w:val="0"/>
        <w:spacing w:line="360" w:lineRule="auto"/>
        <w:ind w:firstLine="643" w:firstLineChars="200"/>
        <w:jc w:val="both"/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</w:rPr>
        <w:t>欢迎广大符合条件、技术娴熟的有识之士踊跃报名</w:t>
      </w:r>
      <w:r>
        <w:rPr>
          <w:rFonts w:ascii="仿宋" w:hAnsi="仿宋" w:eastAsia="仿宋" w:cs="仿宋"/>
          <w:b/>
          <w:bCs/>
          <w:color w:val="000000" w:themeColor="text1"/>
          <w:sz w:val="32"/>
          <w:szCs w:val="32"/>
        </w:rPr>
        <w:t>！</w:t>
      </w:r>
    </w:p>
    <w:p>
      <w:pPr>
        <w:wordWrap w:val="0"/>
        <w:spacing w:line="360" w:lineRule="auto"/>
        <w:jc w:val="right"/>
        <w:rPr>
          <w:rFonts w:ascii="仿宋" w:hAnsi="仿宋" w:eastAsia="仿宋" w:cs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>九江萍钢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 xml:space="preserve">钢铁有限公司     </w:t>
      </w:r>
    </w:p>
    <w:p>
      <w:pPr>
        <w:wordWrap w:val="0"/>
        <w:spacing w:line="360" w:lineRule="auto"/>
        <w:jc w:val="right"/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</w:rPr>
        <w:t>2023年3月</w:t>
      </w:r>
      <w:r>
        <w:rPr>
          <w:rFonts w:hint="eastAsia" w:ascii="仿宋" w:hAnsi="仿宋" w:eastAsia="仿宋" w:cs="仿宋"/>
          <w:color w:val="000000" w:themeColor="text1"/>
          <w:spacing w:val="-8"/>
          <w:sz w:val="32"/>
          <w:szCs w:val="32"/>
        </w:rPr>
        <w:t xml:space="preserve">22日        </w:t>
      </w:r>
      <w:bookmarkStart w:id="0" w:name="_GoBack"/>
      <w:bookmarkEnd w:id="0"/>
    </w:p>
    <w:p>
      <w:pPr>
        <w:spacing w:line="360" w:lineRule="auto"/>
        <w:jc w:val="right"/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 w:cs="仿宋"/>
          <w:color w:val="000000" w:themeColor="text1"/>
          <w:spacing w:val="-8"/>
          <w:sz w:val="32"/>
          <w:szCs w:val="32"/>
        </w:rPr>
      </w:pPr>
    </w:p>
    <w:sectPr>
      <w:pgSz w:w="11906" w:h="16838"/>
      <w:pgMar w:top="1191" w:right="1644" w:bottom="119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5217"/>
      <w:rPr>
        <w:rFonts w:ascii="Calibri" w:hAnsi="Calibri" w:eastAsia="Calibri" w:cs="Calibri"/>
        <w:sz w:val="18"/>
        <w:szCs w:val="18"/>
      </w:rPr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fldChar w:fldCharType="begin"/>
                </w:r>
                <w:r>
                  <w:rPr>
                    <w:rFonts w:asciiTheme="minorHAnsi" w:hAnsiTheme="minorHAnsi"/>
                  </w:rPr>
                  <w:instrText xml:space="preserve"> PAGE  \* MERGEFORMAT </w:instrText>
                </w:r>
                <w:r>
                  <w:rPr>
                    <w:rFonts w:asciiTheme="minorHAnsi" w:hAnsiTheme="minorHAnsi"/>
                  </w:rPr>
                  <w:fldChar w:fldCharType="separate"/>
                </w:r>
                <w:r>
                  <w:rPr>
                    <w:rFonts w:asciiTheme="minorHAnsi" w:hAnsiTheme="minorHAnsi"/>
                  </w:rPr>
                  <w:t>2</w:t>
                </w:r>
                <w:r>
                  <w:rPr>
                    <w:rFonts w:asciiTheme="minorHAnsi" w:hAnsiTheme="minorHAnsi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WNkNjhmNzhkOGRmYTA0YjhhMWUxYTQ3MjdiNjk4MmEifQ=="/>
  </w:docVars>
  <w:rsids>
    <w:rsidRoot w:val="009E7B27"/>
    <w:rsid w:val="00024A0C"/>
    <w:rsid w:val="00051ACB"/>
    <w:rsid w:val="00063389"/>
    <w:rsid w:val="0007525D"/>
    <w:rsid w:val="00092959"/>
    <w:rsid w:val="000A641B"/>
    <w:rsid w:val="000C7944"/>
    <w:rsid w:val="000D59C2"/>
    <w:rsid w:val="001126B3"/>
    <w:rsid w:val="00156365"/>
    <w:rsid w:val="00250FBE"/>
    <w:rsid w:val="002A1D37"/>
    <w:rsid w:val="002B57DF"/>
    <w:rsid w:val="002E234A"/>
    <w:rsid w:val="002F411D"/>
    <w:rsid w:val="00316824"/>
    <w:rsid w:val="0033232B"/>
    <w:rsid w:val="00332BEB"/>
    <w:rsid w:val="003442C4"/>
    <w:rsid w:val="00367EF5"/>
    <w:rsid w:val="00391A43"/>
    <w:rsid w:val="003D59A1"/>
    <w:rsid w:val="003E3EAF"/>
    <w:rsid w:val="004012D2"/>
    <w:rsid w:val="00440B94"/>
    <w:rsid w:val="00445177"/>
    <w:rsid w:val="00450CCF"/>
    <w:rsid w:val="0045738D"/>
    <w:rsid w:val="004B75BD"/>
    <w:rsid w:val="004D5BE2"/>
    <w:rsid w:val="004D62F5"/>
    <w:rsid w:val="005328C8"/>
    <w:rsid w:val="005A1093"/>
    <w:rsid w:val="005D76E8"/>
    <w:rsid w:val="005F6ADA"/>
    <w:rsid w:val="00662CBD"/>
    <w:rsid w:val="00666F16"/>
    <w:rsid w:val="00682872"/>
    <w:rsid w:val="006C3032"/>
    <w:rsid w:val="006C5D5E"/>
    <w:rsid w:val="00724BCD"/>
    <w:rsid w:val="007979DB"/>
    <w:rsid w:val="007C2A51"/>
    <w:rsid w:val="007F02DE"/>
    <w:rsid w:val="008063E1"/>
    <w:rsid w:val="008304B9"/>
    <w:rsid w:val="008A57D9"/>
    <w:rsid w:val="008E2BDA"/>
    <w:rsid w:val="0095415B"/>
    <w:rsid w:val="009B2165"/>
    <w:rsid w:val="009C7346"/>
    <w:rsid w:val="009E269A"/>
    <w:rsid w:val="009E7B27"/>
    <w:rsid w:val="009F0734"/>
    <w:rsid w:val="00A05D0B"/>
    <w:rsid w:val="00A11540"/>
    <w:rsid w:val="00A837DE"/>
    <w:rsid w:val="00AD73B0"/>
    <w:rsid w:val="00B3728B"/>
    <w:rsid w:val="00B511DD"/>
    <w:rsid w:val="00B8238A"/>
    <w:rsid w:val="00B83C6A"/>
    <w:rsid w:val="00B85ED9"/>
    <w:rsid w:val="00BD62E5"/>
    <w:rsid w:val="00C82964"/>
    <w:rsid w:val="00C92975"/>
    <w:rsid w:val="00CA5488"/>
    <w:rsid w:val="00D210BC"/>
    <w:rsid w:val="00D3567A"/>
    <w:rsid w:val="00D86872"/>
    <w:rsid w:val="00DA233E"/>
    <w:rsid w:val="00E058F0"/>
    <w:rsid w:val="00E42FD7"/>
    <w:rsid w:val="00E57960"/>
    <w:rsid w:val="00E857E3"/>
    <w:rsid w:val="00EF364A"/>
    <w:rsid w:val="00F32B73"/>
    <w:rsid w:val="00F3398D"/>
    <w:rsid w:val="00F35D48"/>
    <w:rsid w:val="00F85A88"/>
    <w:rsid w:val="00FB3DBB"/>
    <w:rsid w:val="00FF05D0"/>
    <w:rsid w:val="04E473AC"/>
    <w:rsid w:val="0786207B"/>
    <w:rsid w:val="097C1F9D"/>
    <w:rsid w:val="0B3C5593"/>
    <w:rsid w:val="0EF645A0"/>
    <w:rsid w:val="0F227143"/>
    <w:rsid w:val="118D1789"/>
    <w:rsid w:val="12BB58E4"/>
    <w:rsid w:val="137B3EBC"/>
    <w:rsid w:val="13A7230D"/>
    <w:rsid w:val="140F191B"/>
    <w:rsid w:val="173D69EE"/>
    <w:rsid w:val="1A7D5DB4"/>
    <w:rsid w:val="1FA15E62"/>
    <w:rsid w:val="21DC13D3"/>
    <w:rsid w:val="22CD2F8A"/>
    <w:rsid w:val="22DD4148"/>
    <w:rsid w:val="264F486A"/>
    <w:rsid w:val="27C923FA"/>
    <w:rsid w:val="284E0B51"/>
    <w:rsid w:val="2A490E0C"/>
    <w:rsid w:val="2AE5249E"/>
    <w:rsid w:val="32DB1233"/>
    <w:rsid w:val="35993BB6"/>
    <w:rsid w:val="3A4B4EF0"/>
    <w:rsid w:val="3C1C6B44"/>
    <w:rsid w:val="3C7842E3"/>
    <w:rsid w:val="3D96133E"/>
    <w:rsid w:val="42AE786F"/>
    <w:rsid w:val="4353418F"/>
    <w:rsid w:val="43B43B06"/>
    <w:rsid w:val="44606644"/>
    <w:rsid w:val="448259B3"/>
    <w:rsid w:val="47631ACB"/>
    <w:rsid w:val="4DB8756B"/>
    <w:rsid w:val="508B0107"/>
    <w:rsid w:val="51901F0A"/>
    <w:rsid w:val="526C10EB"/>
    <w:rsid w:val="548213F9"/>
    <w:rsid w:val="5887473C"/>
    <w:rsid w:val="5A166E71"/>
    <w:rsid w:val="5B947E3D"/>
    <w:rsid w:val="5D0D559B"/>
    <w:rsid w:val="5F007C74"/>
    <w:rsid w:val="6076192E"/>
    <w:rsid w:val="650E55CD"/>
    <w:rsid w:val="659D3FA3"/>
    <w:rsid w:val="66896FEB"/>
    <w:rsid w:val="66D4520F"/>
    <w:rsid w:val="677E36DF"/>
    <w:rsid w:val="67A61834"/>
    <w:rsid w:val="6B640CD1"/>
    <w:rsid w:val="6F7570AC"/>
    <w:rsid w:val="6FC7059A"/>
    <w:rsid w:val="6FCD1928"/>
    <w:rsid w:val="719F46D3"/>
    <w:rsid w:val="73142973"/>
    <w:rsid w:val="741B5AF5"/>
    <w:rsid w:val="74744A68"/>
    <w:rsid w:val="752E2E69"/>
    <w:rsid w:val="79C84E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9">
    <w:name w:val="批注框文本 Char"/>
    <w:basedOn w:val="7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1756</Words>
  <Characters>1834</Characters>
  <Lines>1</Lines>
  <Paragraphs>3</Paragraphs>
  <TotalTime>3</TotalTime>
  <ScaleCrop>false</ScaleCrop>
  <LinksUpToDate>false</LinksUpToDate>
  <CharactersWithSpaces>1858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2022-08-18T01:25:00Z</dcterms:created>
  <dc:creator>Administrator</dc:creator>
  <cp:lastModifiedBy>Jianping Li</cp:lastModifiedBy>
  <dcterms:modified xsi:type="dcterms:W3CDTF">2023-05-07T07:42:24Z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4B03ECD920704FC2B5D9E59093D396C5</vt:lpwstr>
  </property>
</Properties>
</file>