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sz w:val="44"/>
          <w:szCs w:val="44"/>
        </w:rPr>
      </w:pPr>
      <w:r>
        <w:rPr>
          <w:rFonts w:hint="eastAsia" w:ascii="仿宋" w:hAnsi="仿宋" w:eastAsia="仿宋" w:cs="仿宋"/>
          <w:b/>
          <w:sz w:val="44"/>
          <w:szCs w:val="44"/>
        </w:rPr>
        <w:t>振石控股集团</w:t>
      </w:r>
      <w:bookmarkStart w:id="0" w:name="_GoBack"/>
      <w:bookmarkEnd w:id="0"/>
    </w:p>
    <w:p>
      <w:pPr>
        <w:spacing w:line="360" w:lineRule="auto"/>
        <w:jc w:val="center"/>
        <w:rPr>
          <w:rFonts w:hint="eastAsia" w:ascii="仿宋" w:hAnsi="仿宋" w:eastAsia="仿宋" w:cs="仿宋"/>
          <w:b/>
          <w:sz w:val="44"/>
          <w:szCs w:val="44"/>
        </w:rPr>
      </w:pPr>
      <w:r>
        <w:rPr>
          <w:rFonts w:hint="eastAsia" w:ascii="仿宋" w:hAnsi="仿宋" w:eastAsia="仿宋" w:cs="仿宋"/>
          <w:b/>
          <w:sz w:val="44"/>
          <w:szCs w:val="44"/>
        </w:rPr>
        <w:t>招聘简章</w:t>
      </w:r>
    </w:p>
    <w:p>
      <w:pPr>
        <w:spacing w:line="360" w:lineRule="auto"/>
        <w:jc w:val="left"/>
        <w:rPr>
          <w:rFonts w:hint="default" w:ascii="仿宋" w:hAnsi="仿宋" w:eastAsia="仿宋" w:cs="仿宋"/>
          <w:b/>
          <w:sz w:val="36"/>
          <w:szCs w:val="36"/>
          <w:lang w:val="en-US" w:eastAsia="zh-CN"/>
        </w:rPr>
      </w:pPr>
      <w:r>
        <w:rPr>
          <w:rFonts w:hint="eastAsia" w:ascii="仿宋" w:hAnsi="仿宋" w:eastAsia="仿宋" w:cs="仿宋"/>
          <w:b/>
          <w:sz w:val="36"/>
          <w:szCs w:val="36"/>
          <w:lang w:val="en-US" w:eastAsia="zh-CN"/>
        </w:rPr>
        <w:t>企业介绍：</w:t>
      </w:r>
    </w:p>
    <w:p>
      <w:pPr>
        <w:spacing w:line="400" w:lineRule="exact"/>
        <w:rPr>
          <w:rFonts w:ascii="仿宋" w:hAnsi="仿宋" w:eastAsia="仿宋" w:cs="仿宋"/>
          <w:b/>
          <w:bCs/>
        </w:rPr>
      </w:pPr>
      <w:r>
        <w:rPr>
          <w:rFonts w:hint="eastAsia" w:ascii="仿宋" w:hAnsi="仿宋" w:eastAsia="仿宋" w:cs="仿宋"/>
          <w:b/>
          <w:bCs/>
        </w:rPr>
        <w:t>一、集团简介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振石控股集团，中国企业500强，中国民营企业500强，中国服务业民营企业100强，浙江省百强企业。地处长三角杭嘉湖平原——浙江嘉兴，作为浙江首批股份制改革试点企业，在创始人张毓强主席的带领下，历经半个多世纪的创业创新，按照“二三产业并重、新老产业并行、轻重产业并举、国内国外并跑”的发展定位，形成了特种钢材、镍铁制造、矿产资源、风电基材、复合新材、科技研发、贸易物流、房产开发、酒店健康、金融投资十大产业板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振石，秉承“勇敢走出去，坚定走下去，成功走回来”理念，大力推进国际化进程，积极践行国家“一带一路”倡议，现已在国内及美国、西班牙、印尼、埃及、土耳其等国家设立了五十余家控（参）股子公司。振石，坚持高质量发展，高速度增长，高品质提升的“三高战略”，朝着创百年振石、树百份信心、争百倍努力、交百分答卷的“四百定位”奋勇前行。</w:t>
      </w:r>
    </w:p>
    <w:p>
      <w:pPr>
        <w:numPr>
          <w:ilvl w:val="0"/>
          <w:numId w:val="1"/>
        </w:numPr>
        <w:spacing w:line="400" w:lineRule="exact"/>
        <w:rPr>
          <w:rFonts w:hint="eastAsia" w:ascii="仿宋" w:hAnsi="仿宋" w:eastAsia="仿宋" w:cs="仿宋"/>
          <w:b/>
          <w:bCs/>
          <w:lang w:val="en-US" w:eastAsia="zh-CN"/>
        </w:rPr>
      </w:pPr>
      <w:r>
        <w:rPr>
          <w:rFonts w:hint="eastAsia" w:ascii="仿宋" w:hAnsi="仿宋" w:eastAsia="仿宋" w:cs="仿宋"/>
          <w:b/>
          <w:bCs/>
          <w:lang w:val="en-US" w:eastAsia="zh-CN"/>
        </w:rPr>
        <w:t>印尼项目简介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秉承“投资在外、资源在外、回报在内、发展在内”的国际化投资理念，响应国家“一带一路”倡议，自2010年起，振石集团便涉足印尼矿产资源的收购及开发，深耕印尼十多年间，集团已在印尼建成多个大型项目，积累了丰富的海外投资和项目建设运营经验，有力推进了集团国际化进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华宝工业园区为振石控股集团在印尼苏拉威西省莫罗瓦利县投资建立的高标准大型工业园区。园区土地面积约2200公顷，将配套建设多个万吨级码头、大型仓库、星级酒店、员工宿舍及食堂，以及完善的消防安保系统、通讯系统和生活娱乐设施等，为入园企业提供完备的基础设施服务。园区为当地带来经济效益的同时，还致力于培养更多印方人才，为当地的城市化建设作出贡献，打造现代化城市、工业综合体。</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贝石印尼投资有限公司为振石控股集团全资子公司，在华宝工业园区投资建立的配套3*250MW超临界燃煤发电厂。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项目建成后，将有助于集团全面提升镍产业上游资源的供应保障能力和不锈钢板块整体竞争力，为集团抓住新能源快速发展给镍上下游产业带来的重大机遇，进一步完善集团“矿资源+镍铁+不锈钢”的全产业链布局，助推集团国际化战略实现跨越式发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 w:hAnsi="仿宋" w:eastAsia="仿宋" w:cs="仿宋"/>
          <w:b w:val="0"/>
          <w:bCs w:val="0"/>
          <w:color w:val="auto"/>
          <w:kern w:val="2"/>
          <w:sz w:val="21"/>
          <w:szCs w:val="22"/>
          <w:lang w:val="en-US" w:eastAsia="zh-CN" w:bidi="ar-SA"/>
        </w:rPr>
      </w:pPr>
    </w:p>
    <w:p>
      <w:pPr>
        <w:numPr>
          <w:ilvl w:val="0"/>
          <w:numId w:val="1"/>
        </w:numPr>
        <w:spacing w:line="400" w:lineRule="exact"/>
        <w:ind w:left="0" w:leftChars="0" w:firstLine="0" w:firstLineChars="0"/>
        <w:rPr>
          <w:rFonts w:hint="eastAsia" w:ascii="仿宋" w:hAnsi="仿宋" w:eastAsia="仿宋" w:cs="仿宋"/>
          <w:b/>
          <w:bCs/>
        </w:rPr>
      </w:pPr>
      <w:r>
        <w:rPr>
          <w:rFonts w:hint="eastAsia" w:ascii="仿宋" w:hAnsi="仿宋" w:eastAsia="仿宋" w:cs="仿宋"/>
          <w:b/>
          <w:bCs/>
          <w:lang w:eastAsia="zh-CN"/>
        </w:rPr>
        <w:t>招聘</w:t>
      </w:r>
      <w:r>
        <w:rPr>
          <w:rFonts w:hint="eastAsia" w:ascii="仿宋" w:hAnsi="仿宋" w:eastAsia="仿宋" w:cs="仿宋"/>
          <w:b/>
          <w:bCs/>
        </w:rPr>
        <w:t>需求</w:t>
      </w:r>
    </w:p>
    <w:tbl>
      <w:tblPr>
        <w:tblStyle w:val="8"/>
        <w:tblW w:w="0" w:type="auto"/>
        <w:tblInd w:w="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1927"/>
        <w:gridCol w:w="4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trPr>
        <w:tc>
          <w:tcPr>
            <w:tcW w:w="1788" w:type="dxa"/>
            <w:shd w:val="clear" w:color="auto" w:fill="95B3D7" w:themeFill="accent1" w:themeFillTint="99"/>
            <w:vAlign w:val="top"/>
          </w:tcPr>
          <w:p>
            <w:pPr>
              <w:numPr>
                <w:ilvl w:val="0"/>
                <w:numId w:val="0"/>
              </w:numPr>
              <w:spacing w:line="400" w:lineRule="exact"/>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类别</w:t>
            </w:r>
          </w:p>
        </w:tc>
        <w:tc>
          <w:tcPr>
            <w:tcW w:w="1927" w:type="dxa"/>
            <w:shd w:val="clear" w:color="auto" w:fill="95B3D7" w:themeFill="accent1" w:themeFillTint="99"/>
            <w:vAlign w:val="top"/>
          </w:tcPr>
          <w:p>
            <w:pPr>
              <w:numPr>
                <w:ilvl w:val="0"/>
                <w:numId w:val="0"/>
              </w:numPr>
              <w:spacing w:line="400" w:lineRule="exact"/>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岗位名称</w:t>
            </w:r>
          </w:p>
        </w:tc>
        <w:tc>
          <w:tcPr>
            <w:tcW w:w="4183" w:type="dxa"/>
            <w:shd w:val="clear" w:color="auto" w:fill="95B3D7" w:themeFill="accent1" w:themeFillTint="99"/>
            <w:vAlign w:val="top"/>
          </w:tcPr>
          <w:p>
            <w:pPr>
              <w:numPr>
                <w:ilvl w:val="0"/>
                <w:numId w:val="0"/>
              </w:numPr>
              <w:spacing w:line="400" w:lineRule="exact"/>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88" w:type="dxa"/>
            <w:vAlign w:val="center"/>
          </w:tcPr>
          <w:p>
            <w:pPr>
              <w:numPr>
                <w:ilvl w:val="0"/>
                <w:numId w:val="0"/>
              </w:numPr>
              <w:spacing w:line="400" w:lineRule="exact"/>
              <w:jc w:val="center"/>
              <w:rPr>
                <w:rFonts w:hint="eastAsia" w:ascii="仿宋" w:hAnsi="仿宋" w:eastAsia="仿宋" w:cs="仿宋"/>
                <w:b w:val="0"/>
                <w:bCs w:val="0"/>
                <w:vertAlign w:val="baseline"/>
                <w:lang w:eastAsia="zh-CN"/>
              </w:rPr>
            </w:pPr>
            <w:r>
              <w:rPr>
                <w:rFonts w:hint="eastAsia" w:ascii="仿宋" w:hAnsi="仿宋" w:eastAsia="仿宋" w:cs="仿宋"/>
                <w:b w:val="0"/>
                <w:bCs w:val="0"/>
                <w:vertAlign w:val="baseline"/>
                <w:lang w:eastAsia="zh-CN"/>
              </w:rPr>
              <w:t>生产管理类</w:t>
            </w:r>
          </w:p>
        </w:tc>
        <w:tc>
          <w:tcPr>
            <w:tcW w:w="1927" w:type="dxa"/>
            <w:vAlign w:val="center"/>
          </w:tcPr>
          <w:p>
            <w:pPr>
              <w:numPr>
                <w:ilvl w:val="0"/>
                <w:numId w:val="0"/>
              </w:numPr>
              <w:spacing w:line="400" w:lineRule="exact"/>
              <w:jc w:val="center"/>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火电运行岗</w:t>
            </w:r>
          </w:p>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（四班三倒）</w:t>
            </w:r>
          </w:p>
        </w:tc>
        <w:tc>
          <w:tcPr>
            <w:tcW w:w="4183" w:type="dxa"/>
          </w:tcPr>
          <w:p>
            <w:pPr>
              <w:numPr>
                <w:ilvl w:val="0"/>
                <w:numId w:val="0"/>
              </w:numPr>
              <w:spacing w:line="400" w:lineRule="exact"/>
              <w:jc w:val="center"/>
              <w:rPr>
                <w:rFonts w:hint="default" w:ascii="仿宋" w:hAnsi="仿宋" w:eastAsia="宋体" w:cs="仿宋"/>
                <w:b w:val="0"/>
                <w:bCs w:val="0"/>
                <w:vertAlign w:val="baseline"/>
                <w:lang w:val="en-US" w:eastAsia="zh-CN"/>
              </w:rPr>
            </w:pPr>
            <w:r>
              <w:rPr>
                <w:rFonts w:hint="eastAsia" w:ascii="仿宋" w:hAnsi="仿宋" w:eastAsia="仿宋" w:cs="仿宋"/>
                <w:b w:val="0"/>
                <w:bCs w:val="0"/>
                <w:vertAlign w:val="baseline"/>
                <w:lang w:val="en-US" w:eastAsia="zh-CN"/>
              </w:rPr>
              <w:t>火电厂集控运行、发电厂及电力系统、电厂热能动力装置等专业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88" w:type="dxa"/>
            <w:vMerge w:val="restart"/>
            <w:vAlign w:val="center"/>
          </w:tcPr>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生产管理类</w:t>
            </w:r>
          </w:p>
        </w:tc>
        <w:tc>
          <w:tcPr>
            <w:tcW w:w="1927" w:type="dxa"/>
            <w:vAlign w:val="center"/>
          </w:tcPr>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火电检修岗</w:t>
            </w:r>
          </w:p>
        </w:tc>
        <w:tc>
          <w:tcPr>
            <w:tcW w:w="4183" w:type="dxa"/>
          </w:tcPr>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电力系统自动化技术、电力系统继电保护、供用电技术、电厂热工自动化、电厂热能动力装置等专业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788" w:type="dxa"/>
            <w:vMerge w:val="continue"/>
          </w:tcPr>
          <w:p>
            <w:pPr>
              <w:numPr>
                <w:ilvl w:val="0"/>
                <w:numId w:val="0"/>
              </w:numPr>
              <w:spacing w:line="400" w:lineRule="exact"/>
              <w:jc w:val="center"/>
              <w:rPr>
                <w:rFonts w:hint="eastAsia" w:ascii="仿宋" w:hAnsi="仿宋" w:eastAsia="仿宋" w:cs="仿宋"/>
                <w:b w:val="0"/>
                <w:bCs w:val="0"/>
                <w:vertAlign w:val="baseline"/>
                <w:lang w:eastAsia="zh-CN"/>
              </w:rPr>
            </w:pPr>
          </w:p>
        </w:tc>
        <w:tc>
          <w:tcPr>
            <w:tcW w:w="1927" w:type="dxa"/>
          </w:tcPr>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eastAsia="zh-CN"/>
              </w:rPr>
              <w:t>电气</w:t>
            </w:r>
            <w:r>
              <w:rPr>
                <w:rFonts w:hint="eastAsia" w:ascii="仿宋" w:hAnsi="仿宋" w:eastAsia="仿宋" w:cs="仿宋"/>
                <w:b w:val="0"/>
                <w:bCs w:val="0"/>
                <w:vertAlign w:val="baseline"/>
                <w:lang w:val="en-US" w:eastAsia="zh-CN"/>
              </w:rPr>
              <w:t>技术岗</w:t>
            </w:r>
          </w:p>
        </w:tc>
        <w:tc>
          <w:tcPr>
            <w:tcW w:w="4183" w:type="dxa"/>
          </w:tcPr>
          <w:p>
            <w:pPr>
              <w:numPr>
                <w:ilvl w:val="0"/>
                <w:numId w:val="0"/>
              </w:numPr>
              <w:spacing w:line="400" w:lineRule="exact"/>
              <w:jc w:val="center"/>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eastAsia="zh-CN"/>
              </w:rPr>
              <w:t>电气类</w:t>
            </w:r>
            <w:r>
              <w:rPr>
                <w:rFonts w:hint="eastAsia" w:ascii="仿宋" w:hAnsi="仿宋" w:eastAsia="仿宋" w:cs="仿宋"/>
                <w:b w:val="0"/>
                <w:bCs w:val="0"/>
                <w:vertAlign w:val="baseline"/>
                <w:lang w:val="en-US"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788" w:type="dxa"/>
            <w:vMerge w:val="restart"/>
            <w:vAlign w:val="center"/>
          </w:tcPr>
          <w:p>
            <w:pPr>
              <w:numPr>
                <w:ilvl w:val="0"/>
                <w:numId w:val="0"/>
              </w:numPr>
              <w:spacing w:line="400" w:lineRule="exact"/>
              <w:jc w:val="center"/>
              <w:rPr>
                <w:rFonts w:hint="eastAsia" w:ascii="仿宋" w:hAnsi="仿宋" w:eastAsia="仿宋" w:cs="仿宋"/>
                <w:b w:val="0"/>
                <w:bCs w:val="0"/>
                <w:vertAlign w:val="baseline"/>
                <w:lang w:eastAsia="zh-CN"/>
              </w:rPr>
            </w:pPr>
            <w:r>
              <w:rPr>
                <w:rFonts w:hint="eastAsia" w:ascii="仿宋" w:hAnsi="仿宋" w:eastAsia="仿宋" w:cs="仿宋"/>
                <w:b w:val="0"/>
                <w:bCs w:val="0"/>
                <w:vertAlign w:val="baseline"/>
                <w:lang w:val="en-US" w:eastAsia="zh-CN"/>
              </w:rPr>
              <w:t>职能管理类</w:t>
            </w:r>
          </w:p>
        </w:tc>
        <w:tc>
          <w:tcPr>
            <w:tcW w:w="1927" w:type="dxa"/>
            <w:vAlign w:val="top"/>
          </w:tcPr>
          <w:p>
            <w:pPr>
              <w:numPr>
                <w:ilvl w:val="0"/>
                <w:numId w:val="0"/>
              </w:numPr>
              <w:spacing w:line="400" w:lineRule="exact"/>
              <w:ind w:left="0" w:leftChars="0" w:firstLine="0" w:firstLineChars="0"/>
              <w:jc w:val="center"/>
              <w:rPr>
                <w:rFonts w:hint="eastAsia" w:ascii="仿宋" w:hAnsi="仿宋" w:eastAsia="仿宋" w:cs="仿宋"/>
                <w:b w:val="0"/>
                <w:bCs w:val="0"/>
                <w:kern w:val="2"/>
                <w:sz w:val="21"/>
                <w:szCs w:val="22"/>
                <w:vertAlign w:val="baseline"/>
                <w:lang w:val="en-US" w:eastAsia="zh-CN" w:bidi="ar-SA"/>
              </w:rPr>
            </w:pPr>
            <w:r>
              <w:rPr>
                <w:rFonts w:hint="eastAsia" w:ascii="仿宋" w:hAnsi="仿宋" w:eastAsia="仿宋" w:cs="仿宋"/>
                <w:b w:val="0"/>
                <w:bCs w:val="0"/>
                <w:vertAlign w:val="baseline"/>
                <w:lang w:val="en-US" w:eastAsia="zh-CN"/>
              </w:rPr>
              <w:t>生产统计岗</w:t>
            </w:r>
          </w:p>
        </w:tc>
        <w:tc>
          <w:tcPr>
            <w:tcW w:w="4183" w:type="dxa"/>
            <w:vAlign w:val="top"/>
          </w:tcPr>
          <w:p>
            <w:pPr>
              <w:numPr>
                <w:ilvl w:val="0"/>
                <w:numId w:val="0"/>
              </w:numPr>
              <w:spacing w:line="400" w:lineRule="exact"/>
              <w:ind w:left="0" w:leftChars="0" w:firstLine="0" w:firstLineChars="0"/>
              <w:jc w:val="center"/>
              <w:rPr>
                <w:rFonts w:hint="eastAsia" w:ascii="仿宋" w:hAnsi="仿宋" w:eastAsia="仿宋" w:cs="仿宋"/>
                <w:b w:val="0"/>
                <w:bCs w:val="0"/>
                <w:kern w:val="2"/>
                <w:sz w:val="21"/>
                <w:szCs w:val="22"/>
                <w:vertAlign w:val="baseline"/>
                <w:lang w:val="en-US" w:eastAsia="zh-CN" w:bidi="ar-SA"/>
              </w:rPr>
            </w:pPr>
            <w:r>
              <w:rPr>
                <w:rFonts w:hint="eastAsia" w:ascii="仿宋" w:hAnsi="仿宋" w:eastAsia="仿宋" w:cs="仿宋"/>
                <w:b w:val="0"/>
                <w:bCs w:val="0"/>
                <w:vertAlign w:val="baseline"/>
                <w:lang w:val="en-US" w:eastAsia="zh-CN"/>
              </w:rPr>
              <w:t>计算机网络技术类专业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788" w:type="dxa"/>
            <w:vMerge w:val="continue"/>
            <w:vAlign w:val="center"/>
          </w:tcPr>
          <w:p>
            <w:pPr>
              <w:numPr>
                <w:ilvl w:val="0"/>
                <w:numId w:val="0"/>
              </w:numPr>
              <w:spacing w:line="400" w:lineRule="exact"/>
              <w:jc w:val="center"/>
              <w:rPr>
                <w:rFonts w:hint="eastAsia" w:ascii="仿宋" w:hAnsi="仿宋" w:eastAsia="仿宋" w:cs="仿宋"/>
                <w:b w:val="0"/>
                <w:bCs w:val="0"/>
                <w:vertAlign w:val="baseline"/>
                <w:lang w:eastAsia="zh-CN"/>
              </w:rPr>
            </w:pPr>
          </w:p>
        </w:tc>
        <w:tc>
          <w:tcPr>
            <w:tcW w:w="1927" w:type="dxa"/>
          </w:tcPr>
          <w:p>
            <w:pPr>
              <w:numPr>
                <w:ilvl w:val="0"/>
                <w:numId w:val="0"/>
              </w:numPr>
              <w:spacing w:line="400" w:lineRule="exact"/>
              <w:jc w:val="center"/>
              <w:rPr>
                <w:rFonts w:hint="default" w:ascii="仿宋" w:hAnsi="仿宋" w:eastAsia="仿宋" w:cs="仿宋"/>
                <w:b w:val="0"/>
                <w:bCs w:val="0"/>
                <w:kern w:val="2"/>
                <w:sz w:val="21"/>
                <w:szCs w:val="22"/>
                <w:vertAlign w:val="baseline"/>
                <w:lang w:val="en-US" w:eastAsia="zh-CN" w:bidi="ar-SA"/>
              </w:rPr>
            </w:pPr>
            <w:r>
              <w:rPr>
                <w:rFonts w:hint="eastAsia" w:ascii="仿宋" w:hAnsi="仿宋" w:eastAsia="仿宋" w:cs="仿宋"/>
                <w:b w:val="0"/>
                <w:bCs w:val="0"/>
                <w:kern w:val="2"/>
                <w:sz w:val="21"/>
                <w:szCs w:val="22"/>
                <w:vertAlign w:val="baseline"/>
                <w:lang w:val="en-US" w:eastAsia="zh-CN" w:bidi="ar-SA"/>
              </w:rPr>
              <w:t>行政文员岗</w:t>
            </w:r>
          </w:p>
        </w:tc>
        <w:tc>
          <w:tcPr>
            <w:tcW w:w="4183" w:type="dxa"/>
          </w:tcPr>
          <w:p>
            <w:pPr>
              <w:numPr>
                <w:ilvl w:val="0"/>
                <w:numId w:val="0"/>
              </w:numPr>
              <w:spacing w:line="400" w:lineRule="exact"/>
              <w:jc w:val="center"/>
              <w:rPr>
                <w:rFonts w:hint="default" w:ascii="仿宋" w:hAnsi="仿宋" w:eastAsia="仿宋" w:cs="仿宋"/>
                <w:b w:val="0"/>
                <w:bCs w:val="0"/>
                <w:kern w:val="2"/>
                <w:sz w:val="21"/>
                <w:szCs w:val="22"/>
                <w:vertAlign w:val="baseline"/>
                <w:lang w:val="en-US" w:eastAsia="zh-CN" w:bidi="ar-SA"/>
              </w:rPr>
            </w:pPr>
            <w:r>
              <w:rPr>
                <w:rFonts w:hint="eastAsia" w:ascii="仿宋" w:hAnsi="仿宋" w:eastAsia="仿宋" w:cs="仿宋"/>
                <w:b w:val="0"/>
                <w:bCs w:val="0"/>
                <w:kern w:val="2"/>
                <w:sz w:val="21"/>
                <w:szCs w:val="22"/>
                <w:vertAlign w:val="baseline"/>
                <w:lang w:val="en-US" w:eastAsia="zh-CN" w:bidi="ar-SA"/>
              </w:rPr>
              <w:t>专业不限</w:t>
            </w:r>
          </w:p>
        </w:tc>
      </w:tr>
    </w:tbl>
    <w:p>
      <w:pPr>
        <w:numPr>
          <w:ilvl w:val="0"/>
          <w:numId w:val="0"/>
        </w:numPr>
        <w:spacing w:line="400" w:lineRule="exact"/>
        <w:rPr>
          <w:rFonts w:hint="eastAsia" w:ascii="仿宋" w:hAnsi="仿宋" w:eastAsia="仿宋" w:cs="仿宋"/>
          <w:b/>
          <w:bCs/>
          <w:lang w:val="en-US" w:eastAsia="zh-CN"/>
        </w:rPr>
      </w:pPr>
    </w:p>
    <w:p>
      <w:pPr>
        <w:numPr>
          <w:ilvl w:val="0"/>
          <w:numId w:val="1"/>
        </w:numPr>
        <w:spacing w:line="400" w:lineRule="exact"/>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薪资福利</w:t>
      </w:r>
    </w:p>
    <w:p>
      <w:pPr>
        <w:numPr>
          <w:ilvl w:val="0"/>
          <w:numId w:val="0"/>
        </w:numPr>
        <w:spacing w:line="400" w:lineRule="exact"/>
        <w:ind w:leftChars="0"/>
        <w:rPr>
          <w:rFonts w:ascii="仿宋" w:hAnsi="仿宋" w:eastAsia="仿宋" w:cs="仿宋"/>
          <w:b/>
          <w:bCs/>
        </w:rPr>
      </w:pPr>
      <w:r>
        <w:rPr>
          <w:rFonts w:hint="eastAsia" w:ascii="仿宋" w:hAnsi="仿宋" w:eastAsia="仿宋" w:cs="仿宋"/>
          <w:b/>
          <w:bCs/>
        </w:rPr>
        <w:t>*</w:t>
      </w:r>
      <w:r>
        <w:rPr>
          <w:rFonts w:hint="eastAsia" w:ascii="仿宋" w:hAnsi="仿宋" w:eastAsia="仿宋" w:cs="仿宋"/>
          <w:b/>
          <w:bCs/>
          <w:lang w:val="en-US" w:eastAsia="zh-CN"/>
        </w:rPr>
        <w:t>薪酬标准</w:t>
      </w:r>
      <w:r>
        <w:rPr>
          <w:rFonts w:hint="eastAsia" w:ascii="仿宋" w:hAnsi="仿宋" w:eastAsia="仿宋" w:cs="仿宋"/>
          <w:b/>
          <w:bCs/>
        </w:rPr>
        <w:t>（首年年薪，每年1月在上年度基础上调薪</w:t>
      </w:r>
      <w:r>
        <w:rPr>
          <w:rFonts w:hint="eastAsia" w:ascii="仿宋" w:hAnsi="仿宋" w:eastAsia="仿宋" w:cs="仿宋"/>
          <w:b/>
          <w:bCs/>
          <w:lang w:val="en-US" w:eastAsia="zh-CN"/>
        </w:rPr>
        <w:t>5-</w:t>
      </w:r>
      <w:r>
        <w:rPr>
          <w:rFonts w:hint="eastAsia" w:ascii="仿宋" w:hAnsi="仿宋" w:eastAsia="仿宋" w:cs="仿宋"/>
          <w:b/>
          <w:bCs/>
        </w:rPr>
        <w:t>10%）</w:t>
      </w:r>
    </w:p>
    <w:tbl>
      <w:tblPr>
        <w:tblStyle w:val="8"/>
        <w:tblpPr w:leftFromText="180" w:rightFromText="180" w:vertAnchor="text" w:horzAnchor="page" w:tblpX="2217" w:tblpY="1"/>
        <w:tblOverlap w:val="never"/>
        <w:tblW w:w="7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98" w:type="dxa"/>
            <w:shd w:val="clear" w:color="auto" w:fill="95B3D7" w:themeFill="accent1" w:themeFillTint="99"/>
          </w:tcPr>
          <w:p>
            <w:pPr>
              <w:spacing w:line="440" w:lineRule="exact"/>
              <w:jc w:val="center"/>
              <w:rPr>
                <w:rFonts w:ascii="仿宋" w:hAnsi="仿宋" w:eastAsia="仿宋" w:cs="仿宋"/>
                <w:b/>
                <w:bCs/>
                <w:szCs w:val="21"/>
              </w:rPr>
            </w:pPr>
            <w:r>
              <w:rPr>
                <w:rFonts w:hint="eastAsia" w:ascii="仿宋" w:hAnsi="仿宋" w:eastAsia="仿宋" w:cs="仿宋"/>
                <w:b/>
                <w:bCs/>
                <w:szCs w:val="21"/>
              </w:rPr>
              <w:t>学历</w:t>
            </w:r>
          </w:p>
        </w:tc>
        <w:tc>
          <w:tcPr>
            <w:tcW w:w="2840" w:type="dxa"/>
            <w:shd w:val="clear" w:color="auto" w:fill="95B3D7" w:themeFill="accent1" w:themeFillTint="99"/>
          </w:tcPr>
          <w:p>
            <w:pPr>
              <w:spacing w:line="440" w:lineRule="exact"/>
              <w:jc w:val="center"/>
              <w:rPr>
                <w:rFonts w:ascii="仿宋" w:hAnsi="仿宋" w:eastAsia="仿宋" w:cs="仿宋"/>
                <w:b/>
                <w:bCs/>
                <w:szCs w:val="21"/>
              </w:rPr>
            </w:pPr>
            <w:r>
              <w:rPr>
                <w:rFonts w:hint="eastAsia" w:ascii="仿宋" w:hAnsi="仿宋" w:eastAsia="仿宋" w:cs="仿宋"/>
                <w:b/>
                <w:bCs/>
                <w:szCs w:val="21"/>
              </w:rPr>
              <w:t>国内</w:t>
            </w:r>
          </w:p>
        </w:tc>
        <w:tc>
          <w:tcPr>
            <w:tcW w:w="2840" w:type="dxa"/>
            <w:shd w:val="clear" w:color="auto" w:fill="95B3D7" w:themeFill="accent1" w:themeFillTint="99"/>
          </w:tcPr>
          <w:p>
            <w:pPr>
              <w:spacing w:line="440" w:lineRule="exact"/>
              <w:jc w:val="center"/>
              <w:rPr>
                <w:rFonts w:ascii="仿宋" w:hAnsi="仿宋" w:eastAsia="仿宋" w:cs="仿宋"/>
                <w:b/>
                <w:bCs/>
                <w:szCs w:val="21"/>
              </w:rPr>
            </w:pPr>
            <w:r>
              <w:rPr>
                <w:rFonts w:hint="eastAsia" w:ascii="仿宋" w:hAnsi="仿宋" w:eastAsia="仿宋" w:cs="仿宋"/>
                <w:b/>
                <w:bCs/>
                <w:szCs w:val="21"/>
              </w:rPr>
              <w:t>海外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98" w:type="dxa"/>
            <w:vAlign w:val="top"/>
          </w:tcPr>
          <w:p>
            <w:pPr>
              <w:keepNext w:val="0"/>
              <w:keepLines w:val="0"/>
              <w:pageBreakBefore w:val="0"/>
              <w:kinsoku/>
              <w:wordWrap/>
              <w:overflowPunct/>
              <w:topLinePunct w:val="0"/>
              <w:autoSpaceDE/>
              <w:autoSpaceDN/>
              <w:bidi w:val="0"/>
              <w:adjustRightInd/>
              <w:snapToGrid/>
              <w:spacing w:line="440" w:lineRule="exact"/>
              <w:jc w:val="center"/>
              <w:textAlignment w:val="auto"/>
              <w:outlineLvl w:val="9"/>
              <w:rPr>
                <w:rFonts w:hint="eastAsia" w:ascii="仿宋" w:hAnsi="仿宋" w:eastAsia="仿宋" w:cs="仿宋"/>
                <w:b w:val="0"/>
                <w:bCs w:val="0"/>
                <w:kern w:val="2"/>
                <w:sz w:val="21"/>
                <w:szCs w:val="21"/>
                <w:vertAlign w:val="baseline"/>
                <w:lang w:val="en-US" w:eastAsia="zh-CN" w:bidi="ar-SA"/>
              </w:rPr>
            </w:pPr>
            <w:r>
              <w:rPr>
                <w:rFonts w:hint="eastAsia" w:ascii="仿宋" w:hAnsi="仿宋" w:eastAsia="仿宋" w:cs="仿宋"/>
                <w:b w:val="0"/>
                <w:bCs w:val="0"/>
                <w:sz w:val="21"/>
                <w:szCs w:val="21"/>
                <w:vertAlign w:val="baseline"/>
                <w:lang w:val="en-US" w:eastAsia="zh-CN"/>
              </w:rPr>
              <w:t>专科</w:t>
            </w:r>
          </w:p>
        </w:tc>
        <w:tc>
          <w:tcPr>
            <w:tcW w:w="2840" w:type="dxa"/>
            <w:vAlign w:val="top"/>
          </w:tcPr>
          <w:p>
            <w:pPr>
              <w:keepNext w:val="0"/>
              <w:keepLines w:val="0"/>
              <w:pageBreakBefore w:val="0"/>
              <w:kinsoku/>
              <w:wordWrap/>
              <w:overflowPunct/>
              <w:topLinePunct w:val="0"/>
              <w:autoSpaceDE/>
              <w:autoSpaceDN/>
              <w:bidi w:val="0"/>
              <w:adjustRightInd/>
              <w:snapToGrid/>
              <w:spacing w:line="440" w:lineRule="exact"/>
              <w:jc w:val="center"/>
              <w:textAlignment w:val="auto"/>
              <w:outlineLvl w:val="9"/>
              <w:rPr>
                <w:rFonts w:hint="eastAsia" w:ascii="仿宋" w:hAnsi="仿宋" w:eastAsia="仿宋" w:cs="仿宋"/>
                <w:b w:val="0"/>
                <w:bCs w:val="0"/>
                <w:kern w:val="2"/>
                <w:sz w:val="21"/>
                <w:szCs w:val="21"/>
                <w:highlight w:val="none"/>
                <w:vertAlign w:val="baseline"/>
                <w:lang w:val="en-US" w:eastAsia="zh-CN" w:bidi="ar-SA"/>
              </w:rPr>
            </w:pPr>
            <w:r>
              <w:rPr>
                <w:rFonts w:hint="eastAsia" w:ascii="仿宋" w:hAnsi="仿宋" w:eastAsia="仿宋" w:cs="仿宋"/>
                <w:b w:val="0"/>
                <w:bCs w:val="0"/>
                <w:sz w:val="21"/>
                <w:szCs w:val="21"/>
                <w:highlight w:val="none"/>
                <w:vertAlign w:val="baseline"/>
                <w:lang w:val="en-US" w:eastAsia="zh-CN"/>
              </w:rPr>
              <w:t>7.5-9万</w:t>
            </w:r>
          </w:p>
        </w:tc>
        <w:tc>
          <w:tcPr>
            <w:tcW w:w="2840" w:type="dxa"/>
            <w:vAlign w:val="top"/>
          </w:tcPr>
          <w:p>
            <w:pPr>
              <w:keepNext w:val="0"/>
              <w:keepLines w:val="0"/>
              <w:pageBreakBefore w:val="0"/>
              <w:kinsoku/>
              <w:wordWrap/>
              <w:overflowPunct/>
              <w:topLinePunct w:val="0"/>
              <w:autoSpaceDE/>
              <w:autoSpaceDN/>
              <w:bidi w:val="0"/>
              <w:adjustRightInd/>
              <w:snapToGrid/>
              <w:spacing w:line="440" w:lineRule="exact"/>
              <w:jc w:val="center"/>
              <w:textAlignment w:val="auto"/>
              <w:outlineLvl w:val="9"/>
              <w:rPr>
                <w:rFonts w:hint="eastAsia" w:ascii="仿宋" w:hAnsi="仿宋" w:eastAsia="仿宋" w:cs="仿宋"/>
                <w:b w:val="0"/>
                <w:bCs w:val="0"/>
                <w:kern w:val="2"/>
                <w:sz w:val="21"/>
                <w:szCs w:val="21"/>
                <w:highlight w:val="none"/>
                <w:vertAlign w:val="baseline"/>
                <w:lang w:val="en-US" w:eastAsia="zh-CN" w:bidi="ar-SA"/>
              </w:rPr>
            </w:pPr>
            <w:r>
              <w:rPr>
                <w:rFonts w:hint="eastAsia" w:ascii="仿宋" w:hAnsi="仿宋" w:eastAsia="仿宋" w:cs="仿宋"/>
                <w:b w:val="0"/>
                <w:bCs w:val="0"/>
                <w:sz w:val="21"/>
                <w:szCs w:val="21"/>
                <w:highlight w:val="none"/>
                <w:vertAlign w:val="baseline"/>
                <w:lang w:val="en-US" w:eastAsia="zh-CN"/>
              </w:rPr>
              <w:t>15-18万</w:t>
            </w:r>
          </w:p>
        </w:tc>
      </w:tr>
    </w:tbl>
    <w:p>
      <w:pPr>
        <w:spacing w:line="440" w:lineRule="exact"/>
        <w:rPr>
          <w:rFonts w:hint="eastAsia" w:ascii="仿宋" w:hAnsi="仿宋" w:eastAsia="仿宋" w:cs="仿宋"/>
          <w:b/>
          <w:bCs/>
          <w:lang w:val="en-US" w:eastAsia="zh-CN"/>
        </w:rPr>
      </w:pPr>
      <w:r>
        <w:rPr>
          <w:rFonts w:hint="eastAsia" w:ascii="仿宋" w:hAnsi="仿宋" w:eastAsia="仿宋" w:cs="仿宋"/>
          <w:b/>
          <w:bCs/>
        </w:rPr>
        <w:t>*</w:t>
      </w:r>
      <w:r>
        <w:rPr>
          <w:rFonts w:hint="eastAsia" w:ascii="仿宋" w:hAnsi="仿宋" w:eastAsia="仿宋" w:cs="仿宋"/>
          <w:b/>
          <w:bCs/>
          <w:lang w:val="en-US" w:eastAsia="zh-CN"/>
        </w:rPr>
        <w:t>休假周期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新进大学生每工作165天（5.5个月）可休假一次（15天）；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备注：往返机票费、签证费均由公司承担。</w:t>
      </w:r>
    </w:p>
    <w:p>
      <w:pPr>
        <w:spacing w:line="440" w:lineRule="exact"/>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bCs/>
        </w:rPr>
        <w:t>*</w:t>
      </w:r>
      <w:r>
        <w:rPr>
          <w:rFonts w:hint="eastAsia" w:ascii="仿宋" w:hAnsi="仿宋" w:eastAsia="仿宋" w:cs="仿宋"/>
          <w:b/>
          <w:bCs/>
          <w:lang w:val="en-US" w:eastAsia="zh-CN"/>
        </w:rPr>
        <w:t>福利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 w:hAnsi="仿宋" w:eastAsia="仿宋" w:cs="仿宋"/>
          <w:b w:val="0"/>
          <w:bCs w:val="0"/>
          <w:color w:val="auto"/>
          <w:kern w:val="2"/>
          <w:sz w:val="21"/>
          <w:szCs w:val="22"/>
          <w:lang w:val="en-US" w:eastAsia="zh-CN" w:bidi="ar-SA"/>
        </w:rPr>
      </w:pPr>
      <w:r>
        <w:rPr>
          <w:rFonts w:hint="eastAsia" w:ascii="仿宋" w:hAnsi="仿宋" w:eastAsia="仿宋" w:cs="仿宋"/>
          <w:b w:val="0"/>
          <w:bCs w:val="0"/>
          <w:color w:val="auto"/>
          <w:kern w:val="2"/>
          <w:sz w:val="21"/>
          <w:szCs w:val="22"/>
          <w:lang w:val="en-US" w:eastAsia="zh-CN" w:bidi="ar-SA"/>
        </w:rPr>
        <w:t>五险一金（生产管理岗考核合格正式顶岗后缴纳住房公积金），生日福利，节假日福利，年度体检，先进奖励等，国外免费提供食宿及生活必需品。</w:t>
      </w:r>
    </w:p>
    <w:p>
      <w:pPr>
        <w:spacing w:line="440" w:lineRule="exact"/>
        <w:rPr>
          <w:rFonts w:hint="default" w:ascii="仿宋" w:hAnsi="仿宋" w:eastAsia="仿宋" w:cs="仿宋"/>
          <w:b w:val="0"/>
          <w:bCs w:val="0"/>
          <w:color w:val="auto"/>
          <w:kern w:val="2"/>
          <w:sz w:val="21"/>
          <w:szCs w:val="22"/>
          <w:lang w:val="en-US" w:eastAsia="zh-CN" w:bidi="ar-SA"/>
        </w:rPr>
      </w:pPr>
    </w:p>
    <w:p>
      <w:pPr>
        <w:numPr>
          <w:ilvl w:val="0"/>
          <w:numId w:val="0"/>
        </w:numPr>
        <w:spacing w:line="440" w:lineRule="exact"/>
        <w:rPr>
          <w:rFonts w:hint="eastAsia" w:ascii="仿宋" w:hAnsi="仿宋" w:eastAsia="仿宋" w:cs="仿宋"/>
          <w:b/>
          <w:bCs/>
          <w:lang w:val="en-US" w:eastAsia="zh-CN"/>
        </w:rPr>
      </w:pPr>
      <w:r>
        <w:rPr>
          <w:rFonts w:hint="eastAsia" w:ascii="仿宋" w:hAnsi="仿宋" w:eastAsia="仿宋" w:cs="仿宋"/>
          <w:b/>
          <w:bCs/>
          <w:lang w:val="en-US" w:eastAsia="zh-CN"/>
        </w:rPr>
        <w:t>五、联系方式</w:t>
      </w:r>
    </w:p>
    <w:p>
      <w:pPr>
        <w:keepNext w:val="0"/>
        <w:keepLines w:val="0"/>
        <w:pageBreakBefore w:val="0"/>
        <w:kinsoku/>
        <w:wordWrap/>
        <w:overflowPunct/>
        <w:topLinePunct w:val="0"/>
        <w:autoSpaceDE/>
        <w:autoSpaceDN/>
        <w:bidi w:val="0"/>
        <w:adjustRightInd/>
        <w:snapToGrid/>
        <w:spacing w:line="440" w:lineRule="exact"/>
        <w:textAlignment w:val="auto"/>
        <w:outlineLvl w:val="9"/>
        <w:rPr>
          <w:rFonts w:hint="default" w:ascii="仿宋" w:hAnsi="仿宋" w:eastAsia="仿宋" w:cs="仿宋"/>
          <w:lang w:val="en-US" w:eastAsia="zh-CN"/>
        </w:rPr>
      </w:pPr>
      <w:r>
        <w:rPr>
          <w:rFonts w:hint="eastAsia" w:ascii="仿宋" w:hAnsi="仿宋" w:eastAsia="仿宋" w:cs="仿宋"/>
          <w:lang w:val="en-US" w:eastAsia="zh-CN"/>
        </w:rPr>
        <w:t>简历投递</w:t>
      </w:r>
      <w:r>
        <w:rPr>
          <w:rFonts w:hint="eastAsia" w:ascii="仿宋" w:hAnsi="仿宋" w:eastAsia="仿宋" w:cs="仿宋"/>
        </w:rPr>
        <w:t>：</w:t>
      </w:r>
      <w:r>
        <w:rPr>
          <w:rFonts w:hint="eastAsia" w:ascii="仿宋" w:hAnsi="仿宋" w:eastAsia="仿宋" w:cs="仿宋"/>
          <w:lang w:val="en-US" w:eastAsia="zh-CN"/>
        </w:rPr>
        <w:t>hrhw@zhenshigroup.com</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lang w:eastAsia="zh-CN"/>
        </w:rPr>
      </w:pPr>
      <w:r>
        <w:rPr>
          <w:rFonts w:hint="eastAsia" w:ascii="仿宋" w:hAnsi="仿宋" w:eastAsia="仿宋" w:cs="仿宋"/>
        </w:rPr>
        <w:t>公司官网：</w:t>
      </w:r>
      <w:r>
        <w:rPr>
          <w:rFonts w:hint="eastAsia" w:ascii="仿宋" w:hAnsi="仿宋" w:eastAsia="仿宋" w:cs="仿宋"/>
          <w:color w:val="auto"/>
          <w:u w:val="none"/>
        </w:rPr>
        <w:t>www.zhenshigroup.com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D3C186"/>
    <w:multiLevelType w:val="singleLevel"/>
    <w:tmpl w:val="63D3C18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005369D0"/>
    <w:rsid w:val="00030AAD"/>
    <w:rsid w:val="000856E5"/>
    <w:rsid w:val="000F6A42"/>
    <w:rsid w:val="001200B5"/>
    <w:rsid w:val="001858BE"/>
    <w:rsid w:val="001C5761"/>
    <w:rsid w:val="00240A54"/>
    <w:rsid w:val="0026685B"/>
    <w:rsid w:val="002D1A48"/>
    <w:rsid w:val="003256FF"/>
    <w:rsid w:val="003700DA"/>
    <w:rsid w:val="0037028F"/>
    <w:rsid w:val="003903DF"/>
    <w:rsid w:val="0045176B"/>
    <w:rsid w:val="0049255B"/>
    <w:rsid w:val="004B239D"/>
    <w:rsid w:val="004F1481"/>
    <w:rsid w:val="005369D0"/>
    <w:rsid w:val="005901DC"/>
    <w:rsid w:val="006A3284"/>
    <w:rsid w:val="006E0175"/>
    <w:rsid w:val="007B759B"/>
    <w:rsid w:val="00827432"/>
    <w:rsid w:val="008940E3"/>
    <w:rsid w:val="008E182D"/>
    <w:rsid w:val="008E71FF"/>
    <w:rsid w:val="008F19E4"/>
    <w:rsid w:val="00904413"/>
    <w:rsid w:val="009902CB"/>
    <w:rsid w:val="009E78B6"/>
    <w:rsid w:val="00AC49C4"/>
    <w:rsid w:val="00AE63EE"/>
    <w:rsid w:val="00AF6B76"/>
    <w:rsid w:val="00B157E9"/>
    <w:rsid w:val="00C132FB"/>
    <w:rsid w:val="00C72A12"/>
    <w:rsid w:val="00C836E2"/>
    <w:rsid w:val="00CA77CF"/>
    <w:rsid w:val="00CB2F90"/>
    <w:rsid w:val="00CF3D92"/>
    <w:rsid w:val="00D00406"/>
    <w:rsid w:val="00D21115"/>
    <w:rsid w:val="00D85D61"/>
    <w:rsid w:val="00E0449C"/>
    <w:rsid w:val="00E6601F"/>
    <w:rsid w:val="02322F9C"/>
    <w:rsid w:val="03E94C46"/>
    <w:rsid w:val="059C3035"/>
    <w:rsid w:val="06E40313"/>
    <w:rsid w:val="08D1432C"/>
    <w:rsid w:val="0A1E6FC5"/>
    <w:rsid w:val="0A705CFB"/>
    <w:rsid w:val="0B2A25D4"/>
    <w:rsid w:val="0C92688F"/>
    <w:rsid w:val="0D0023DD"/>
    <w:rsid w:val="0DBB6779"/>
    <w:rsid w:val="126806B2"/>
    <w:rsid w:val="131A18C0"/>
    <w:rsid w:val="13A75E69"/>
    <w:rsid w:val="13DF17D5"/>
    <w:rsid w:val="14250A4A"/>
    <w:rsid w:val="17EC479F"/>
    <w:rsid w:val="18055854"/>
    <w:rsid w:val="188357C4"/>
    <w:rsid w:val="199C41E2"/>
    <w:rsid w:val="19BA551A"/>
    <w:rsid w:val="19F80FBD"/>
    <w:rsid w:val="1A461FB6"/>
    <w:rsid w:val="1D031CA4"/>
    <w:rsid w:val="1EC5490C"/>
    <w:rsid w:val="20DD1D71"/>
    <w:rsid w:val="20E07090"/>
    <w:rsid w:val="22157F08"/>
    <w:rsid w:val="226743BD"/>
    <w:rsid w:val="23620400"/>
    <w:rsid w:val="266844C7"/>
    <w:rsid w:val="267C0B7F"/>
    <w:rsid w:val="27E64F76"/>
    <w:rsid w:val="285472F7"/>
    <w:rsid w:val="2B051220"/>
    <w:rsid w:val="2CD24C11"/>
    <w:rsid w:val="2D7D6B6F"/>
    <w:rsid w:val="2E956B15"/>
    <w:rsid w:val="2F4C0C97"/>
    <w:rsid w:val="2F94325B"/>
    <w:rsid w:val="2FA0135C"/>
    <w:rsid w:val="2FD5280E"/>
    <w:rsid w:val="2FD67CB8"/>
    <w:rsid w:val="30D66D2F"/>
    <w:rsid w:val="31AF7EA6"/>
    <w:rsid w:val="32580C10"/>
    <w:rsid w:val="364C6355"/>
    <w:rsid w:val="37E612E0"/>
    <w:rsid w:val="383F4CE6"/>
    <w:rsid w:val="383F67E9"/>
    <w:rsid w:val="38CB0706"/>
    <w:rsid w:val="39B236FF"/>
    <w:rsid w:val="39E02FEB"/>
    <w:rsid w:val="3A8E23DA"/>
    <w:rsid w:val="3B5F2A44"/>
    <w:rsid w:val="3C460564"/>
    <w:rsid w:val="3EB81078"/>
    <w:rsid w:val="3EEF5C17"/>
    <w:rsid w:val="3F5053B1"/>
    <w:rsid w:val="3F83785F"/>
    <w:rsid w:val="40737813"/>
    <w:rsid w:val="427958E0"/>
    <w:rsid w:val="42B23D5F"/>
    <w:rsid w:val="42CB50AA"/>
    <w:rsid w:val="4389125B"/>
    <w:rsid w:val="44771715"/>
    <w:rsid w:val="458B0A4F"/>
    <w:rsid w:val="478553E3"/>
    <w:rsid w:val="47F6032F"/>
    <w:rsid w:val="48287854"/>
    <w:rsid w:val="496C2ED3"/>
    <w:rsid w:val="4A06314F"/>
    <w:rsid w:val="4B1C3734"/>
    <w:rsid w:val="4C1D30C9"/>
    <w:rsid w:val="4C624B47"/>
    <w:rsid w:val="4D190054"/>
    <w:rsid w:val="4D2B79A7"/>
    <w:rsid w:val="4DB52A19"/>
    <w:rsid w:val="4E2759C6"/>
    <w:rsid w:val="4EB470B0"/>
    <w:rsid w:val="4ED467DB"/>
    <w:rsid w:val="4F4620D4"/>
    <w:rsid w:val="4F76627D"/>
    <w:rsid w:val="4FF90047"/>
    <w:rsid w:val="50463D38"/>
    <w:rsid w:val="5222691C"/>
    <w:rsid w:val="522D3F66"/>
    <w:rsid w:val="526124EB"/>
    <w:rsid w:val="53412CFC"/>
    <w:rsid w:val="53825163"/>
    <w:rsid w:val="55560EC1"/>
    <w:rsid w:val="569F7156"/>
    <w:rsid w:val="57114FA3"/>
    <w:rsid w:val="58791A21"/>
    <w:rsid w:val="58CC00A0"/>
    <w:rsid w:val="598802E5"/>
    <w:rsid w:val="5AEC1371"/>
    <w:rsid w:val="5BCE76AE"/>
    <w:rsid w:val="5DAC2CA0"/>
    <w:rsid w:val="5E0026E0"/>
    <w:rsid w:val="5F6E0BB6"/>
    <w:rsid w:val="60C31FF6"/>
    <w:rsid w:val="60E63665"/>
    <w:rsid w:val="62224CFD"/>
    <w:rsid w:val="62E5722A"/>
    <w:rsid w:val="639B483F"/>
    <w:rsid w:val="659C37A1"/>
    <w:rsid w:val="665C01BA"/>
    <w:rsid w:val="6C8A5D3E"/>
    <w:rsid w:val="6CA236BE"/>
    <w:rsid w:val="7000767C"/>
    <w:rsid w:val="70E65020"/>
    <w:rsid w:val="71F66096"/>
    <w:rsid w:val="73470E94"/>
    <w:rsid w:val="77DC095A"/>
    <w:rsid w:val="780517B5"/>
    <w:rsid w:val="78713A36"/>
    <w:rsid w:val="79B95AF3"/>
    <w:rsid w:val="7C374764"/>
    <w:rsid w:val="7D486A31"/>
    <w:rsid w:val="7DC03422"/>
    <w:rsid w:val="7DCD5699"/>
    <w:rsid w:val="7DFC3AB3"/>
    <w:rsid w:val="7F163D07"/>
    <w:rsid w:val="7FC30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uiPriority w:val="99"/>
    <w:rPr>
      <w:sz w:val="18"/>
      <w:szCs w:val="18"/>
    </w:rPr>
  </w:style>
  <w:style w:type="character" w:customStyle="1" w:styleId="13">
    <w:name w:val="页脚 字符"/>
    <w:basedOn w:val="9"/>
    <w:link w:val="4"/>
    <w:semiHidden/>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font21"/>
    <w:basedOn w:val="9"/>
    <w:qFormat/>
    <w:uiPriority w:val="0"/>
    <w:rPr>
      <w:rFonts w:hint="eastAsia" w:ascii="仿宋" w:hAnsi="仿宋" w:eastAsia="仿宋" w:cs="仿宋"/>
      <w:color w:val="000000"/>
      <w:sz w:val="24"/>
      <w:szCs w:val="24"/>
      <w:u w:val="none"/>
    </w:rPr>
  </w:style>
  <w:style w:type="character" w:customStyle="1" w:styleId="16">
    <w:name w:val="批注框文本 字符"/>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1077</Words>
  <Characters>1169</Characters>
  <Lines>10</Lines>
  <Paragraphs>2</Paragraphs>
  <TotalTime>17</TotalTime>
  <ScaleCrop>false</ScaleCrop>
  <LinksUpToDate>false</LinksUpToDate>
  <CharactersWithSpaces>1171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2017-03-09T08:04:00Z</dcterms:created>
  <dc:creator>user</dc:creator>
  <cp:lastModifiedBy>边記</cp:lastModifiedBy>
  <dcterms:modified xsi:type="dcterms:W3CDTF">2023-10-20T09:44:53Z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AF53E8C977B44C34BE96DC8E7DAD7B9F_13</vt:lpwstr>
  </property>
</Properties>
</file>