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2880"/>
        </w:tabs>
        <w:jc w:val="left"/>
        <w:rPr>
          <w:rFonts w:ascii="华文隶书" w:hAnsi="微软雅黑" w:eastAsia="华文隶书"/>
          <w:b/>
          <w:color w:val="00B0F0"/>
          <w:sz w:val="42"/>
          <w:szCs w:val="42"/>
        </w:rPr>
      </w:pPr>
      <w:bookmarkStart w:id="0" w:name="_GoBack"/>
      <w:bookmarkEnd w:id="0"/>
      <w:r>
        <w:rPr>
          <w:rFonts w:hint="eastAsia" w:ascii="华文隶书" w:hAnsi="微软雅黑" w:eastAsia="华文隶书"/>
          <w:b/>
          <w:color w:val="00B0F0"/>
          <w:sz w:val="42"/>
          <w:szCs w:val="42"/>
        </w:rPr>
        <w:t>同学请留步，我们等你很久了！</w:t>
      </w:r>
    </w:p>
    <w:p>
      <w:pPr>
        <w:tabs>
          <w:tab w:val="left" w:pos="2880"/>
        </w:tabs>
        <w:jc w:val="right"/>
        <w:rPr>
          <w:rFonts w:ascii="华文隶书" w:hAnsi="微软雅黑" w:eastAsia="华文隶书"/>
          <w:b/>
          <w:color w:val="00B0F0"/>
          <w:sz w:val="42"/>
          <w:szCs w:val="42"/>
        </w:rPr>
      </w:pPr>
      <w:r>
        <w:rPr>
          <w:rFonts w:hint="eastAsia" w:ascii="华文隶书" w:hAnsi="微软雅黑" w:eastAsia="华文隶书"/>
          <w:b/>
          <w:color w:val="00B0F0"/>
          <w:sz w:val="42"/>
          <w:szCs w:val="42"/>
        </w:rPr>
        <w:t>—深圳泰昂2024应届毕业生招聘简章</w:t>
      </w:r>
    </w:p>
    <w:p>
      <w:pPr>
        <w:tabs>
          <w:tab w:val="left" w:pos="2880"/>
        </w:tabs>
        <w:jc w:val="center"/>
        <w:rPr>
          <w:rFonts w:ascii="华文隶书" w:hAnsi="微软雅黑" w:eastAsia="华文隶书"/>
          <w:b/>
          <w:color w:val="00B0F0"/>
          <w:sz w:val="36"/>
          <w:szCs w:val="36"/>
        </w:rPr>
      </w:pPr>
      <w:r>
        <w:rPr>
          <w:rFonts w:hint="eastAsia" w:ascii="华文隶书" w:hAnsi="微软雅黑" w:eastAsia="华文隶书"/>
          <w:b/>
          <w:color w:val="00B0F0"/>
          <w:sz w:val="36"/>
          <w:szCs w:val="36"/>
        </w:rPr>
        <w:t>【我们是谁？——泰昂能源】</w:t>
      </w:r>
    </w:p>
    <w:p>
      <w:pPr>
        <w:tabs>
          <w:tab w:val="left" w:pos="2880"/>
        </w:tabs>
        <w:jc w:val="center"/>
        <w:rPr>
          <w:rFonts w:ascii="华文隶书" w:hAnsi="微软雅黑" w:eastAsia="华文隶书"/>
          <w:b/>
          <w:color w:val="00B0F0"/>
          <w:sz w:val="36"/>
          <w:szCs w:val="36"/>
        </w:rPr>
      </w:pPr>
      <w:r>
        <w:rPr>
          <w:rFonts w:ascii="华文隶书" w:hAnsi="微软雅黑" w:eastAsia="华文隶书"/>
          <w:b/>
          <w:color w:val="00B0F0"/>
          <w:sz w:val="36"/>
          <w:szCs w:val="36"/>
        </w:rPr>
        <w:drawing>
          <wp:inline distT="0" distB="0" distL="0" distR="0">
            <wp:extent cx="5231765" cy="2872105"/>
            <wp:effectExtent l="19050" t="0" r="6517" b="0"/>
            <wp:docPr id="3" name="图片 3" descr="C:\Users\yangb\AppData\Local\Temp\1537267868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yangb\AppData\Local\Temp\1537267868(1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32233" cy="287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sz w:val="18"/>
          <w:szCs w:val="18"/>
        </w:rPr>
        <w:t>◆公司概况：</w:t>
      </w:r>
    </w:p>
    <w:p>
      <w:pPr>
        <w:spacing w:line="276" w:lineRule="auto"/>
        <w:ind w:firstLine="282" w:firstLineChars="157"/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sz w:val="18"/>
          <w:szCs w:val="18"/>
        </w:rPr>
        <w:t>深圳市泰昂能源科技股份有限公司成立于2001年，注册资本5000万元。公司总部位于深圳市宝安区鸿辉科技园，设有研发中心、财务中心、营销管理中心；生产基地位于皖南绩溪生态工业园，占地面积40000余平方米，年生产能力超过20000台套。经过十几年的发展，公司旗下现有昂泰智能、泰达服务、安徽泰昂电力、美国Ontech等分子公司。</w:t>
      </w:r>
      <w:r>
        <w:rPr>
          <w:rFonts w:hint="eastAsia" w:ascii="微软雅黑" w:hAnsi="微软雅黑" w:eastAsia="微软雅黑"/>
          <w:sz w:val="18"/>
          <w:szCs w:val="18"/>
        </w:rPr>
        <w:cr/>
      </w:r>
      <w:r>
        <w:rPr>
          <w:rFonts w:hint="eastAsia" w:ascii="微软雅黑" w:hAnsi="微软雅黑" w:eastAsia="微软雅黑"/>
          <w:sz w:val="18"/>
          <w:szCs w:val="18"/>
        </w:rPr>
        <w:t>    公司以为用户提供安全智能的用电解决方案和服务为使命，始终坚持技术创新，是一家集软硬件产品研发、生产、销售、服务为一体的国家级高新技术企业，曾参与多项电源类产品技术标准制定。截至2017年10月底，公司已拥有自主知识产权138项，其中：发明专利28项，实用新型专利57项，PCT 6项，美国发明1项，外观1项，软件著作权45项。公司旗下全资子公司昂泰智能拥有自主知识产权36项，其中：发明专利7项、实用新型专利17项、PCT5项，软件著作权7项。</w:t>
      </w:r>
      <w:r>
        <w:rPr>
          <w:rFonts w:hint="eastAsia" w:ascii="微软雅黑" w:hAnsi="微软雅黑" w:eastAsia="微软雅黑"/>
          <w:sz w:val="18"/>
          <w:szCs w:val="18"/>
        </w:rPr>
        <w:cr/>
      </w:r>
      <w:r>
        <w:rPr>
          <w:rFonts w:hint="eastAsia" w:ascii="微软雅黑" w:hAnsi="微软雅黑" w:eastAsia="微软雅黑"/>
          <w:sz w:val="18"/>
          <w:szCs w:val="18"/>
        </w:rPr>
        <w:t>公司是国家电网公司和南方电网公司变电站电源类产品、配网低压配电产品的主要供应商。截至2017年6月，公司变电站电源类产品（一体化电源系统、交流电源系统、直流电源系统、UPS电源、通信电源、并联直流电源系统）已在国家电网公司和南方电网公司5000余座变电站和大量配网开闭站（配电房）安全稳定运行，其中：1000kV特高压变电站11座，±1100kV、±800kV、±660kV、±500kV、±400 kV换流站30座，750kV变电站11座，500kV变电站190余座，220kV变电站1300余座，110kV变电站3200余座，产品运行业绩遍及两大电网公司所有省区；配网低压配电产品（含模块化低压智能配电系统、直流电源系统、并联直流电源系统）运行业绩遍及国家电网和南方电网十余个省区。</w:t>
      </w:r>
      <w:r>
        <w:rPr>
          <w:rFonts w:hint="eastAsia" w:ascii="微软雅黑" w:hAnsi="微软雅黑" w:eastAsia="微软雅黑"/>
          <w:sz w:val="18"/>
          <w:szCs w:val="18"/>
        </w:rPr>
        <w:cr/>
      </w:r>
      <w:r>
        <w:rPr>
          <w:rFonts w:hint="eastAsia" w:ascii="微软雅黑" w:hAnsi="微软雅黑" w:eastAsia="微软雅黑"/>
          <w:sz w:val="18"/>
          <w:szCs w:val="18"/>
        </w:rPr>
        <w:t>    在数据中心领域，公司创新开发的模块化智能低压配电系统、精密列头柜、小母线系统等系列配电产品已在通信运营商、银行、证券、BAT等多个行业700余个数据中心机房安全稳定运行，2015年、2016年，公司连续两年获得数据中心优秀供应商奖。</w:t>
      </w:r>
      <w:r>
        <w:rPr>
          <w:rFonts w:hint="eastAsia" w:ascii="微软雅黑" w:hAnsi="微软雅黑" w:eastAsia="微软雅黑"/>
          <w:sz w:val="18"/>
          <w:szCs w:val="18"/>
        </w:rPr>
        <w:cr/>
      </w:r>
      <w:r>
        <w:rPr>
          <w:rFonts w:hint="eastAsia" w:ascii="微软雅黑" w:hAnsi="微软雅黑" w:eastAsia="微软雅黑"/>
          <w:sz w:val="18"/>
          <w:szCs w:val="18"/>
        </w:rPr>
        <w:t>    在能源互联网领域，公司具有完善的微电网和储能解决方案，拥有微网控制器等具备自主知识产权的关键核心产品，已投运实际应用案例有深圳沃特玛储能项目、安徽绩溪微电网示范项目等。</w:t>
      </w:r>
      <w:r>
        <w:rPr>
          <w:rFonts w:hint="eastAsia" w:ascii="微软雅黑" w:hAnsi="微软雅黑" w:eastAsia="微软雅黑"/>
          <w:sz w:val="18"/>
          <w:szCs w:val="18"/>
        </w:rPr>
        <w:cr/>
      </w:r>
      <w:r>
        <w:rPr>
          <w:rFonts w:hint="eastAsia" w:ascii="微软雅黑" w:hAnsi="微软雅黑" w:eastAsia="微软雅黑"/>
          <w:sz w:val="18"/>
          <w:szCs w:val="18"/>
        </w:rPr>
        <w:t>    公司旗下泰达服务子公司致力于电网、数据中心、轨道交通、居民配电等领域的变配电设备检验检测、专业化检修和运维保养服务，可提供咨询、设计、安装、检验、运维为一体的用电解决方案。</w:t>
      </w:r>
      <w:r>
        <w:rPr>
          <w:rFonts w:hint="eastAsia" w:ascii="微软雅黑" w:hAnsi="微软雅黑" w:eastAsia="微软雅黑"/>
          <w:sz w:val="18"/>
          <w:szCs w:val="18"/>
        </w:rPr>
        <w:cr/>
      </w:r>
      <w:r>
        <w:rPr>
          <w:rFonts w:hint="eastAsia" w:ascii="微软雅黑" w:hAnsi="微软雅黑" w:eastAsia="微软雅黑"/>
          <w:sz w:val="18"/>
          <w:szCs w:val="18"/>
        </w:rPr>
        <w:t>    公司售后服务体系完善，拥有一支近五十名服务工程师组成的售后服务团队，服务网络覆盖全国所有省区。</w:t>
      </w:r>
      <w:r>
        <w:rPr>
          <w:rFonts w:hint="eastAsia" w:ascii="微软雅黑" w:hAnsi="微软雅黑" w:eastAsia="微软雅黑"/>
          <w:sz w:val="18"/>
          <w:szCs w:val="18"/>
        </w:rPr>
        <w:cr/>
      </w:r>
      <w:r>
        <w:rPr>
          <w:rFonts w:hint="eastAsia" w:ascii="微软雅黑" w:hAnsi="微软雅黑" w:eastAsia="微软雅黑"/>
          <w:sz w:val="18"/>
          <w:szCs w:val="18"/>
        </w:rPr>
        <w:t>   公司提供全面的、富有竞争力的薪资福利待遇，并为员工提供良好职业发展机会。目前公司规模发展迅速，求贤若渴，欢迎阁下的加盟。</w:t>
      </w:r>
      <w:r>
        <w:rPr>
          <w:rFonts w:hint="eastAsia" w:ascii="微软雅黑" w:hAnsi="微软雅黑" w:eastAsia="微软雅黑"/>
          <w:sz w:val="18"/>
          <w:szCs w:val="18"/>
        </w:rPr>
        <w:cr/>
      </w:r>
      <w:r>
        <w:rPr>
          <w:rFonts w:hint="eastAsia" w:ascii="微软雅黑" w:hAnsi="微软雅黑" w:eastAsia="微软雅黑"/>
          <w:sz w:val="18"/>
          <w:szCs w:val="18"/>
        </w:rPr>
        <w:t>深圳泰昂能源竭诚为您服务，让您用电更省心！</w:t>
      </w:r>
    </w:p>
    <w:p>
      <w:pPr>
        <w:tabs>
          <w:tab w:val="left" w:pos="2880"/>
        </w:tabs>
        <w:jc w:val="center"/>
        <w:rPr>
          <w:rFonts w:ascii="华文隶书" w:hAnsi="微软雅黑" w:eastAsia="华文隶书"/>
          <w:b/>
          <w:color w:val="00B0F0"/>
          <w:sz w:val="36"/>
          <w:szCs w:val="36"/>
        </w:rPr>
      </w:pPr>
      <w:r>
        <w:rPr>
          <w:rFonts w:hint="eastAsia" w:ascii="华文隶书" w:hAnsi="微软雅黑" w:eastAsia="华文隶书"/>
          <w:b/>
          <w:color w:val="00B0F0"/>
          <w:sz w:val="36"/>
          <w:szCs w:val="36"/>
        </w:rPr>
        <w:t>【我们需要谁？】</w:t>
      </w:r>
    </w:p>
    <w:p>
      <w:pPr>
        <w:spacing w:line="276" w:lineRule="auto"/>
        <w:ind w:firstLine="180" w:firstLineChars="100"/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sz w:val="18"/>
          <w:szCs w:val="18"/>
        </w:rPr>
        <w:t>2024年毕业的你，阳光的你，积极的你，有执行力的你；电力、电子、电气工程、电力系统、控制工程、自动化等相关工科专业的你，扬帆起航，旨在泰昂！</w:t>
      </w:r>
    </w:p>
    <w:p>
      <w:pPr>
        <w:rPr>
          <w:rFonts w:ascii="华文隶书" w:hAnsi="微软雅黑" w:eastAsia="华文隶书"/>
          <w:b/>
          <w:color w:val="00B0F0"/>
          <w:sz w:val="36"/>
          <w:szCs w:val="36"/>
        </w:rPr>
      </w:pPr>
      <w:r>
        <w:rPr>
          <w:rFonts w:hint="eastAsia" w:ascii="华文隶书" w:hAnsi="微软雅黑" w:eastAsia="华文隶书"/>
          <w:b/>
          <w:color w:val="00B0F0"/>
          <w:sz w:val="36"/>
          <w:szCs w:val="36"/>
        </w:rPr>
        <w:t>·招聘职位，虚位以待</w:t>
      </w:r>
    </w:p>
    <w:p>
      <w:pPr>
        <w:rPr>
          <w:rFonts w:ascii="微软雅黑" w:hAnsi="微软雅黑" w:eastAsia="微软雅黑"/>
          <w:b/>
          <w:szCs w:val="21"/>
        </w:rPr>
      </w:pPr>
      <w:r>
        <w:rPr>
          <w:rFonts w:hint="eastAsia" w:ascii="微软雅黑" w:hAnsi="微软雅黑" w:eastAsia="微软雅黑"/>
          <w:b/>
          <w:szCs w:val="21"/>
        </w:rPr>
        <w:t>电力服务工程师：</w:t>
      </w:r>
    </w:p>
    <w:p>
      <w:pPr>
        <w:rPr>
          <w:rFonts w:ascii="微软雅黑" w:hAnsi="微软雅黑" w:eastAsia="微软雅黑"/>
          <w:b/>
          <w:sz w:val="18"/>
          <w:szCs w:val="18"/>
        </w:rPr>
      </w:pPr>
      <w:r>
        <w:rPr>
          <w:rFonts w:hint="eastAsia" w:ascii="微软雅黑" w:hAnsi="微软雅黑" w:eastAsia="微软雅黑"/>
          <w:b/>
          <w:sz w:val="18"/>
          <w:szCs w:val="18"/>
        </w:rPr>
        <w:t>工作地点：</w:t>
      </w:r>
    </w:p>
    <w:p>
      <w:pPr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sz w:val="18"/>
          <w:szCs w:val="18"/>
        </w:rPr>
        <w:t>1.此岗位需到深圳总部入职，需安排至安徽制造中心带薪培训1-2个月；</w:t>
      </w:r>
    </w:p>
    <w:p>
      <w:pPr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sz w:val="18"/>
          <w:szCs w:val="18"/>
        </w:rPr>
        <w:t>2.此岗位是技术支持岗，工作地点不固定，属于出差性质，后期分配区域可根据离家远近；</w:t>
      </w:r>
    </w:p>
    <w:p>
      <w:pPr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sz w:val="18"/>
          <w:szCs w:val="18"/>
        </w:rPr>
        <w:t>3.转正后分配区域以就进原则，主要有（深圳、广州、北京、上海、南京、杭州、郑州、济南、内蒙古等等）</w:t>
      </w:r>
    </w:p>
    <w:p>
      <w:pPr>
        <w:rPr>
          <w:rFonts w:ascii="微软雅黑" w:hAnsi="微软雅黑" w:eastAsia="微软雅黑"/>
          <w:b/>
          <w:sz w:val="18"/>
          <w:szCs w:val="18"/>
        </w:rPr>
      </w:pPr>
      <w:r>
        <w:rPr>
          <w:rFonts w:hint="eastAsia" w:ascii="微软雅黑" w:hAnsi="微软雅黑" w:eastAsia="微软雅黑"/>
          <w:b/>
          <w:sz w:val="18"/>
          <w:szCs w:val="18"/>
        </w:rPr>
        <w:t>岗位职责：</w:t>
      </w:r>
    </w:p>
    <w:p>
      <w:pPr>
        <w:rPr>
          <w:rFonts w:ascii="微软雅黑" w:hAnsi="微软雅黑" w:eastAsia="微软雅黑"/>
          <w:b/>
          <w:sz w:val="24"/>
          <w:szCs w:val="24"/>
        </w:rPr>
      </w:pPr>
      <w:r>
        <w:rPr>
          <w:rFonts w:hint="eastAsia" w:ascii="微软雅黑" w:hAnsi="微软雅黑" w:eastAsia="微软雅黑"/>
          <w:sz w:val="18"/>
          <w:szCs w:val="18"/>
        </w:rPr>
        <w:t xml:space="preserve">1.根据客户需要，指导电源产品(主要为高低压成套\交直流电源屏\UPS\蓄电池组等)的安装、调试； </w:t>
      </w:r>
      <w:r>
        <w:rPr>
          <w:rFonts w:hint="eastAsia" w:ascii="微软雅黑" w:hAnsi="微软雅黑" w:eastAsia="微软雅黑"/>
          <w:sz w:val="18"/>
          <w:szCs w:val="18"/>
        </w:rPr>
        <w:cr/>
      </w:r>
      <w:r>
        <w:rPr>
          <w:rFonts w:hint="eastAsia" w:ascii="微软雅黑" w:hAnsi="微软雅黑" w:eastAsia="微软雅黑"/>
          <w:sz w:val="18"/>
          <w:szCs w:val="18"/>
        </w:rPr>
        <w:t xml:space="preserve">2.根据客户需要，前往设备现场对电源产品(主要为高低压成套\交直流电源屏\UPS\蓄电池组等)巡视检查、维修、检测、蓄电池核容充放电等； </w:t>
      </w:r>
      <w:r>
        <w:rPr>
          <w:rFonts w:hint="eastAsia" w:ascii="微软雅黑" w:hAnsi="微软雅黑" w:eastAsia="微软雅黑"/>
          <w:sz w:val="18"/>
          <w:szCs w:val="18"/>
        </w:rPr>
        <w:cr/>
      </w:r>
      <w:r>
        <w:rPr>
          <w:rFonts w:hint="eastAsia" w:ascii="微软雅黑" w:hAnsi="微软雅黑" w:eastAsia="微软雅黑"/>
          <w:sz w:val="18"/>
          <w:szCs w:val="18"/>
        </w:rPr>
        <w:t>3.根据客户要求、技术图纸或作业指导书进行电源产品(主要为高低压成套\交直流电源屏\UPS\蓄电池组等)现场改造。</w:t>
      </w:r>
    </w:p>
    <w:tbl>
      <w:tblPr>
        <w:tblStyle w:val="5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6"/>
        <w:gridCol w:w="1476"/>
        <w:gridCol w:w="936"/>
        <w:gridCol w:w="3890"/>
        <w:gridCol w:w="101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8" w:type="pct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18"/>
                <w:szCs w:val="18"/>
              </w:rPr>
              <w:t>岗位类别</w:t>
            </w:r>
          </w:p>
        </w:tc>
        <w:tc>
          <w:tcPr>
            <w:tcW w:w="866" w:type="pct"/>
            <w:tcBorders>
              <w:top w:val="dotted" w:color="auto" w:sz="4" w:space="0"/>
              <w:left w:val="nil"/>
              <w:bottom w:val="dotted" w:color="auto" w:sz="4" w:space="0"/>
              <w:right w:val="dotted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18"/>
                <w:szCs w:val="18"/>
              </w:rPr>
              <w:t>岗位名称</w:t>
            </w:r>
          </w:p>
        </w:tc>
        <w:tc>
          <w:tcPr>
            <w:tcW w:w="549" w:type="pct"/>
            <w:tcBorders>
              <w:top w:val="dotted" w:color="auto" w:sz="4" w:space="0"/>
              <w:left w:val="nil"/>
              <w:bottom w:val="dotted" w:color="auto" w:sz="4" w:space="0"/>
              <w:right w:val="dotted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18"/>
                <w:szCs w:val="18"/>
              </w:rPr>
              <w:t>需求人数</w:t>
            </w:r>
          </w:p>
        </w:tc>
        <w:tc>
          <w:tcPr>
            <w:tcW w:w="2283" w:type="pct"/>
            <w:tcBorders>
              <w:top w:val="dotted" w:color="auto" w:sz="4" w:space="0"/>
              <w:left w:val="nil"/>
              <w:bottom w:val="dotted" w:color="auto" w:sz="4" w:space="0"/>
              <w:right w:val="dotted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18"/>
                <w:szCs w:val="18"/>
              </w:rPr>
              <w:t>专业及其他要求</w:t>
            </w:r>
          </w:p>
        </w:tc>
        <w:tc>
          <w:tcPr>
            <w:tcW w:w="594" w:type="pct"/>
            <w:tcBorders>
              <w:top w:val="dotted" w:color="auto" w:sz="4" w:space="0"/>
              <w:left w:val="nil"/>
              <w:bottom w:val="dotted" w:color="auto" w:sz="4" w:space="0"/>
              <w:right w:val="dotted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18"/>
                <w:szCs w:val="18"/>
              </w:rPr>
              <w:t>学历要求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708" w:type="pct"/>
            <w:tcBorders>
              <w:top w:val="nil"/>
              <w:left w:val="dotted" w:color="auto" w:sz="4" w:space="0"/>
              <w:bottom w:val="nil"/>
              <w:right w:val="dotted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技术支持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dotted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项目服务工程师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dotted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283" w:type="pct"/>
            <w:tcBorders>
              <w:top w:val="nil"/>
              <w:left w:val="nil"/>
              <w:bottom w:val="nil"/>
              <w:right w:val="dotted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1、专业方向：电气自动化、电力系统继保与自动化、电力电子、供配电或工厂供电等相关专业；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2、能吃苦耐劳，服从安排，并具备团队协作精神；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3、能适应出差。</w:t>
            </w:r>
          </w:p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dotted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专科/本科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708" w:type="pct"/>
            <w:tcBorders>
              <w:top w:val="nil"/>
              <w:left w:val="dotted" w:color="auto" w:sz="4" w:space="0"/>
              <w:bottom w:val="dotted" w:color="000000" w:sz="4" w:space="0"/>
              <w:right w:val="dotted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市场营销</w:t>
            </w:r>
          </w:p>
        </w:tc>
        <w:tc>
          <w:tcPr>
            <w:tcW w:w="866" w:type="pct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客户经理</w:t>
            </w:r>
          </w:p>
        </w:tc>
        <w:tc>
          <w:tcPr>
            <w:tcW w:w="549" w:type="pct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2283" w:type="pct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1、专业方向：电力电子\电气工程\电力系统\控制工程\自动化\市场营销等；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2、具有良好的沟通能力。</w:t>
            </w:r>
          </w:p>
        </w:tc>
        <w:tc>
          <w:tcPr>
            <w:tcW w:w="594" w:type="pct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专科/本科</w:t>
            </w:r>
          </w:p>
        </w:tc>
      </w:tr>
    </w:tbl>
    <w:p>
      <w:pPr>
        <w:rPr>
          <w:rFonts w:ascii="华文隶书" w:hAnsi="微软雅黑" w:eastAsia="华文隶书"/>
          <w:b/>
          <w:color w:val="00B0F0"/>
          <w:sz w:val="36"/>
          <w:szCs w:val="36"/>
        </w:rPr>
      </w:pPr>
      <w:r>
        <w:rPr>
          <w:rFonts w:hint="eastAsia" w:ascii="华文隶书" w:hAnsi="微软雅黑" w:eastAsia="华文隶书"/>
          <w:b/>
          <w:color w:val="00B0F0"/>
          <w:sz w:val="36"/>
          <w:szCs w:val="36"/>
        </w:rPr>
        <w:t>·招聘流程：</w:t>
      </w:r>
    </w:p>
    <w:p>
      <w:pPr>
        <w:spacing w:line="276" w:lineRule="auto"/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sz w:val="18"/>
          <w:szCs w:val="18"/>
        </w:rPr>
        <w:t>简历投递收取——简历筛选——HR初试——用人部门复试——HR沟通录用事宜——发录用通知——按约定报到</w:t>
      </w:r>
    </w:p>
    <w:p>
      <w:pPr>
        <w:spacing w:line="276" w:lineRule="auto"/>
        <w:rPr>
          <w:rFonts w:ascii="华文隶书" w:hAnsi="微软雅黑" w:eastAsia="华文隶书"/>
          <w:b/>
          <w:color w:val="00B0F0"/>
          <w:sz w:val="36"/>
          <w:szCs w:val="36"/>
        </w:rPr>
      </w:pPr>
      <w:r>
        <w:rPr>
          <w:rFonts w:hint="eastAsia" w:ascii="华文隶书" w:hAnsi="微软雅黑" w:eastAsia="华文隶书"/>
          <w:b/>
          <w:color w:val="00B0F0"/>
          <w:sz w:val="36"/>
          <w:szCs w:val="36"/>
        </w:rPr>
        <w:t>·发展晋升通道：</w:t>
      </w:r>
    </w:p>
    <w:p>
      <w:pPr>
        <w:spacing w:line="276" w:lineRule="auto"/>
        <w:rPr>
          <w:rFonts w:ascii="微软雅黑" w:hAnsi="微软雅黑" w:eastAsia="微软雅黑"/>
          <w:b/>
          <w:sz w:val="20"/>
          <w:szCs w:val="20"/>
        </w:rPr>
      </w:pPr>
      <w:r>
        <w:rPr>
          <w:rFonts w:hint="eastAsia" w:ascii="微软雅黑" w:hAnsi="微软雅黑" w:eastAsia="微软雅黑"/>
          <w:b/>
          <w:sz w:val="20"/>
          <w:szCs w:val="20"/>
        </w:rPr>
        <w:t>纵向发展</w:t>
      </w:r>
    </w:p>
    <w:p>
      <w:pPr>
        <w:spacing w:line="276" w:lineRule="auto"/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sz w:val="18"/>
          <w:szCs w:val="18"/>
        </w:rPr>
        <w:t>职能路径：员工—组长—部门主管—部门经理—副总监—总监—副总经理——总经理</w:t>
      </w:r>
    </w:p>
    <w:p>
      <w:pPr>
        <w:spacing w:line="276" w:lineRule="auto"/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sz w:val="18"/>
          <w:szCs w:val="18"/>
        </w:rPr>
        <w:t>专业路径：初级技工—中级技工—高级技工—助理工程师—工程师—高级工程师—总工—专家</w:t>
      </w:r>
    </w:p>
    <w:p>
      <w:pPr>
        <w:spacing w:line="276" w:lineRule="auto"/>
        <w:rPr>
          <w:rFonts w:ascii="微软雅黑" w:hAnsi="微软雅黑" w:eastAsia="微软雅黑"/>
          <w:b/>
          <w:sz w:val="20"/>
          <w:szCs w:val="20"/>
        </w:rPr>
      </w:pPr>
      <w:r>
        <w:rPr>
          <w:rFonts w:hint="eastAsia" w:ascii="微软雅黑" w:hAnsi="微软雅黑" w:eastAsia="微软雅黑"/>
          <w:b/>
          <w:sz w:val="20"/>
          <w:szCs w:val="20"/>
        </w:rPr>
        <w:t>横向发展</w:t>
      </w:r>
    </w:p>
    <w:p>
      <w:pPr>
        <w:spacing w:line="276" w:lineRule="auto"/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sz w:val="18"/>
          <w:szCs w:val="18"/>
        </w:rPr>
        <w:t>员工除可选择纵向发展，也可选择横向，如从工程师晋升为某一系列岗位管理职位。</w:t>
      </w:r>
    </w:p>
    <w:p>
      <w:pPr>
        <w:rPr>
          <w:rFonts w:ascii="华文隶书" w:hAnsi="微软雅黑" w:eastAsia="华文隶书"/>
          <w:b/>
          <w:color w:val="00B0F0"/>
          <w:sz w:val="36"/>
          <w:szCs w:val="36"/>
        </w:rPr>
      </w:pPr>
      <w:r>
        <w:rPr>
          <w:rFonts w:hint="eastAsia" w:ascii="华文隶书" w:hAnsi="微软雅黑" w:eastAsia="华文隶书"/>
          <w:b/>
          <w:color w:val="00B0F0"/>
          <w:sz w:val="36"/>
          <w:szCs w:val="36"/>
        </w:rPr>
        <w:t>·完善的福利体系：</w:t>
      </w:r>
    </w:p>
    <w:p>
      <w:pPr>
        <w:spacing w:line="276" w:lineRule="auto"/>
        <w:jc w:val="left"/>
        <w:rPr>
          <w:rFonts w:ascii="微软雅黑" w:hAnsi="微软雅黑" w:eastAsia="微软雅黑"/>
          <w:b/>
          <w:sz w:val="18"/>
          <w:szCs w:val="18"/>
        </w:rPr>
      </w:pPr>
      <w:r>
        <w:rPr>
          <w:rFonts w:hint="eastAsia" w:ascii="微软雅黑" w:hAnsi="微软雅黑" w:eastAsia="微软雅黑"/>
          <w:b/>
          <w:sz w:val="18"/>
          <w:szCs w:val="18"/>
        </w:rPr>
        <w:t>薪资结构：底薪（5K-5.5K）+出差补贴+话费补贴+高温补贴+月度绩效奖金+年终奖金+其他福利，</w:t>
      </w:r>
    </w:p>
    <w:p>
      <w:pPr>
        <w:spacing w:line="276" w:lineRule="auto"/>
        <w:jc w:val="left"/>
        <w:rPr>
          <w:rFonts w:ascii="微软雅黑" w:hAnsi="微软雅黑" w:eastAsia="微软雅黑"/>
          <w:b/>
          <w:sz w:val="18"/>
          <w:szCs w:val="18"/>
        </w:rPr>
      </w:pPr>
      <w:r>
        <w:rPr>
          <w:rFonts w:hint="eastAsia" w:ascii="微软雅黑" w:hAnsi="微软雅黑" w:eastAsia="微软雅黑"/>
          <w:b/>
          <w:color w:val="E46C0A" w:themeColor="accent6" w:themeShade="BF"/>
          <w:szCs w:val="21"/>
        </w:rPr>
        <w:t>综合年收入10-15W。</w:t>
      </w:r>
    </w:p>
    <w:p>
      <w:pPr>
        <w:spacing w:line="276" w:lineRule="auto"/>
        <w:jc w:val="left"/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b/>
          <w:sz w:val="18"/>
          <w:szCs w:val="18"/>
        </w:rPr>
        <w:t>员工培训：</w:t>
      </w:r>
      <w:r>
        <w:rPr>
          <w:rFonts w:hint="eastAsia" w:ascii="微软雅黑" w:hAnsi="微软雅黑" w:eastAsia="微软雅黑"/>
          <w:sz w:val="18"/>
          <w:szCs w:val="18"/>
        </w:rPr>
        <w:t>新员工采用“一对一”导师培训体系，每年定期组织新员工入职培训，根据业务需求组织相关专业技能相关内训及外训。</w:t>
      </w:r>
    </w:p>
    <w:p>
      <w:pPr>
        <w:spacing w:line="276" w:lineRule="auto"/>
        <w:jc w:val="left"/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b/>
          <w:sz w:val="18"/>
          <w:szCs w:val="18"/>
        </w:rPr>
        <w:t>社会保险：</w:t>
      </w:r>
      <w:r>
        <w:rPr>
          <w:rFonts w:hint="eastAsia" w:ascii="微软雅黑" w:hAnsi="微软雅黑" w:eastAsia="微软雅黑"/>
          <w:sz w:val="18"/>
          <w:szCs w:val="18"/>
        </w:rPr>
        <w:t>公司为员工缴纳养老保险、医疗保险、工伤保险、失业保险、生育保险。</w:t>
      </w:r>
    </w:p>
    <w:p>
      <w:pPr>
        <w:spacing w:line="276" w:lineRule="auto"/>
        <w:jc w:val="left"/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b/>
          <w:sz w:val="18"/>
          <w:szCs w:val="18"/>
        </w:rPr>
        <w:t>住房公积金：</w:t>
      </w:r>
      <w:r>
        <w:rPr>
          <w:rFonts w:hint="eastAsia" w:ascii="微软雅黑" w:hAnsi="微软雅黑" w:eastAsia="微软雅黑"/>
          <w:sz w:val="18"/>
          <w:szCs w:val="18"/>
        </w:rPr>
        <w:t>公司为员工购买住房公积金。</w:t>
      </w:r>
    </w:p>
    <w:p>
      <w:pPr>
        <w:spacing w:line="276" w:lineRule="auto"/>
        <w:jc w:val="left"/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b/>
          <w:sz w:val="18"/>
          <w:szCs w:val="18"/>
        </w:rPr>
        <w:t>上班时间：</w:t>
      </w:r>
      <w:r>
        <w:rPr>
          <w:rFonts w:hint="eastAsia" w:ascii="微软雅黑" w:hAnsi="微软雅黑" w:eastAsia="微软雅黑"/>
          <w:sz w:val="18"/>
          <w:szCs w:val="18"/>
        </w:rPr>
        <w:t>以项目为主，不定时工作制。</w:t>
      </w:r>
    </w:p>
    <w:p>
      <w:pPr>
        <w:spacing w:line="276" w:lineRule="auto"/>
        <w:jc w:val="left"/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b/>
          <w:sz w:val="18"/>
          <w:szCs w:val="18"/>
        </w:rPr>
        <w:t>员工假期：</w:t>
      </w:r>
      <w:r>
        <w:rPr>
          <w:rFonts w:hint="eastAsia" w:ascii="微软雅黑" w:hAnsi="微软雅黑" w:eastAsia="微软雅黑"/>
          <w:sz w:val="18"/>
          <w:szCs w:val="18"/>
        </w:rPr>
        <w:t>春节假期（</w:t>
      </w:r>
      <w:r>
        <w:rPr>
          <w:rFonts w:ascii="微软雅黑" w:hAnsi="微软雅黑" w:eastAsia="微软雅黑"/>
          <w:sz w:val="18"/>
          <w:szCs w:val="18"/>
        </w:rPr>
        <w:t>14</w:t>
      </w:r>
      <w:r>
        <w:rPr>
          <w:rFonts w:hint="eastAsia" w:ascii="微软雅黑" w:hAnsi="微软雅黑" w:eastAsia="微软雅黑"/>
          <w:sz w:val="18"/>
          <w:szCs w:val="18"/>
        </w:rPr>
        <w:t>天左右）、其它国家规定法定假期、年休假、带薪病假、婚假、丧假、产假、陪产假、哺乳假、生日假等相关假期。</w:t>
      </w:r>
    </w:p>
    <w:p>
      <w:pPr>
        <w:spacing w:line="276" w:lineRule="auto"/>
        <w:jc w:val="left"/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b/>
          <w:sz w:val="18"/>
          <w:szCs w:val="18"/>
        </w:rPr>
        <w:t>文化活动：</w:t>
      </w:r>
      <w:r>
        <w:rPr>
          <w:rFonts w:hint="eastAsia" w:ascii="微软雅黑" w:hAnsi="微软雅黑" w:eastAsia="微软雅黑"/>
          <w:sz w:val="18"/>
          <w:szCs w:val="18"/>
        </w:rPr>
        <w:t>公司组织丰富多彩的文化活动及比赛，如年会、羽毛球赛、瑜伽社、</w:t>
      </w:r>
      <w:r>
        <w:rPr>
          <w:rFonts w:ascii="微软雅黑" w:hAnsi="微软雅黑" w:eastAsia="微软雅黑"/>
          <w:sz w:val="18"/>
          <w:szCs w:val="18"/>
        </w:rPr>
        <w:t>NGO</w:t>
      </w:r>
      <w:r>
        <w:rPr>
          <w:rFonts w:hint="eastAsia" w:ascii="微软雅黑" w:hAnsi="微软雅黑" w:eastAsia="微软雅黑"/>
          <w:sz w:val="18"/>
          <w:szCs w:val="18"/>
        </w:rPr>
        <w:t>社团、篮球赛、户外拓展、年度旅游等各项文体活动。</w:t>
      </w:r>
    </w:p>
    <w:p>
      <w:pPr>
        <w:spacing w:line="276" w:lineRule="auto"/>
        <w:jc w:val="left"/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b/>
          <w:sz w:val="18"/>
          <w:szCs w:val="18"/>
        </w:rPr>
        <w:t>其他福利：</w:t>
      </w:r>
      <w:r>
        <w:rPr>
          <w:rFonts w:hint="eastAsia" w:ascii="微软雅黑" w:hAnsi="微软雅黑" w:eastAsia="微软雅黑"/>
          <w:sz w:val="18"/>
          <w:szCs w:val="18"/>
        </w:rPr>
        <w:t>多样化节日礼物、个性定制生日礼物、结婚礼金、生育礼金、年度体检福利等。</w:t>
      </w:r>
    </w:p>
    <w:p>
      <w:pPr>
        <w:spacing w:line="276" w:lineRule="auto"/>
        <w:jc w:val="left"/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华文隶书" w:hAnsi="微软雅黑" w:eastAsia="华文隶书"/>
          <w:b/>
          <w:color w:val="00B0F0"/>
          <w:sz w:val="36"/>
          <w:szCs w:val="36"/>
        </w:rPr>
        <w:t>·温馨提醒</w:t>
      </w:r>
      <w:r>
        <w:rPr>
          <w:rFonts w:hint="eastAsia" w:ascii="微软雅黑" w:hAnsi="微软雅黑" w:eastAsia="微软雅黑"/>
          <w:sz w:val="18"/>
          <w:szCs w:val="18"/>
        </w:rPr>
        <w:cr/>
      </w:r>
      <w:r>
        <w:rPr>
          <w:rFonts w:hint="eastAsia" w:ascii="微软雅黑" w:hAnsi="微软雅黑" w:eastAsia="微软雅黑"/>
          <w:b/>
          <w:color w:val="E46C0A" w:themeColor="accent6" w:themeShade="BF"/>
          <w:sz w:val="18"/>
          <w:szCs w:val="18"/>
        </w:rPr>
        <w:t>1、通过邮箱投递简历时，请将简历添加附件，邮件主题统一格式为“毕业院校+专业+学历+姓名”。</w:t>
      </w:r>
      <w:r>
        <w:rPr>
          <w:rFonts w:hint="eastAsia" w:ascii="微软雅黑" w:hAnsi="微软雅黑" w:eastAsia="微软雅黑"/>
          <w:b/>
          <w:color w:val="E46C0A" w:themeColor="accent6" w:themeShade="BF"/>
          <w:sz w:val="18"/>
          <w:szCs w:val="18"/>
        </w:rPr>
        <w:cr/>
      </w:r>
      <w:r>
        <w:rPr>
          <w:rFonts w:hint="eastAsia" w:ascii="微软雅黑" w:hAnsi="微软雅黑" w:eastAsia="微软雅黑"/>
          <w:sz w:val="18"/>
          <w:szCs w:val="18"/>
        </w:rPr>
        <w:t>2、招聘过程中，公司将通过应聘者简历中填写的联系方式与本人联系（包括手机、E-MAIL邮箱等），请应聘者确保信息无误且保持通讯畅通。</w:t>
      </w:r>
    </w:p>
    <w:p>
      <w:pPr>
        <w:rPr>
          <w:rFonts w:ascii="华文隶书" w:hAnsi="微软雅黑" w:eastAsia="华文隶书"/>
          <w:b/>
          <w:color w:val="00B0F0"/>
          <w:sz w:val="36"/>
          <w:szCs w:val="36"/>
        </w:rPr>
      </w:pPr>
      <w:r>
        <w:rPr>
          <w:rFonts w:hint="eastAsia" w:ascii="华文隶书" w:hAnsi="微软雅黑" w:eastAsia="华文隶书"/>
          <w:b/>
          <w:color w:val="00B0F0"/>
          <w:sz w:val="36"/>
          <w:szCs w:val="36"/>
        </w:rPr>
        <w:t>·联系方式：</w:t>
      </w:r>
    </w:p>
    <w:p>
      <w:pPr>
        <w:spacing w:line="276" w:lineRule="auto"/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sz w:val="18"/>
          <w:szCs w:val="18"/>
        </w:rPr>
        <w:t>电话：</w:t>
      </w:r>
      <w:r>
        <w:rPr>
          <w:rFonts w:ascii="微软雅黑" w:hAnsi="微软雅黑" w:eastAsia="微软雅黑"/>
          <w:sz w:val="18"/>
          <w:szCs w:val="18"/>
        </w:rPr>
        <w:t>0755-86336066</w:t>
      </w:r>
    </w:p>
    <w:p>
      <w:pPr>
        <w:spacing w:line="276" w:lineRule="auto"/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sz w:val="18"/>
          <w:szCs w:val="18"/>
        </w:rPr>
        <w:t>手机、微信：17688166767</w:t>
      </w:r>
    </w:p>
    <w:p>
      <w:pPr>
        <w:spacing w:line="276" w:lineRule="auto"/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sz w:val="18"/>
          <w:szCs w:val="18"/>
        </w:rPr>
        <w:t>传真：0755-83572399</w:t>
      </w:r>
    </w:p>
    <w:p>
      <w:pPr>
        <w:spacing w:line="276" w:lineRule="auto"/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sz w:val="18"/>
          <w:szCs w:val="18"/>
        </w:rPr>
        <w:t>联系人：杨先生</w:t>
      </w:r>
    </w:p>
    <w:p>
      <w:pPr>
        <w:spacing w:line="276" w:lineRule="auto"/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sz w:val="18"/>
          <w:szCs w:val="18"/>
        </w:rPr>
        <w:t>邮箱：yangb@taiang.com.cn</w:t>
      </w:r>
    </w:p>
    <w:p>
      <w:pPr>
        <w:spacing w:line="276" w:lineRule="auto"/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sz w:val="18"/>
          <w:szCs w:val="18"/>
        </w:rPr>
        <w:t>地址：深圳市宝安区新安街道留仙二路鸿辉科技园1栋6楼  </w:t>
      </w:r>
    </w:p>
    <w:p>
      <w:pPr>
        <w:spacing w:line="276" w:lineRule="auto"/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sz w:val="18"/>
          <w:szCs w:val="18"/>
        </w:rPr>
        <w:t>公司网址：</w:t>
      </w:r>
      <w:r>
        <w:fldChar w:fldCharType="begin"/>
      </w:r>
      <w:r>
        <w:instrText xml:space="preserve"> HYPERLINK "http://www.taiang.com.cn" </w:instrText>
      </w:r>
      <w:r>
        <w:fldChar w:fldCharType="separate"/>
      </w:r>
      <w:r>
        <w:rPr>
          <w:rStyle w:val="8"/>
          <w:rFonts w:hint="eastAsia" w:ascii="微软雅黑" w:hAnsi="微软雅黑" w:eastAsia="微软雅黑"/>
          <w:sz w:val="18"/>
          <w:szCs w:val="18"/>
        </w:rPr>
        <w:t>http://www.taiang.com.cn</w:t>
      </w:r>
      <w:r>
        <w:rPr>
          <w:rStyle w:val="8"/>
          <w:rFonts w:hint="eastAsia" w:ascii="微软雅黑" w:hAnsi="微软雅黑" w:eastAsia="微软雅黑"/>
          <w:sz w:val="18"/>
          <w:szCs w:val="18"/>
        </w:rPr>
        <w:fldChar w:fldCharType="end"/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align>top</wp:align>
              </wp:positionV>
              <wp:extent cx="58420" cy="139700"/>
              <wp:effectExtent l="0" t="0" r="3810" b="0"/>
              <wp:wrapNone/>
              <wp:docPr id="2" name="文本框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Style w:val="7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7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7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4" o:spid="_x0000_s1026" o:spt="202" type="#_x0000_t202" style="position:absolute;left:0pt;height:11pt;width:4.6pt;mso-position-horizontal:right;mso-position-horizontal-relative:margin;mso-position-vertical:top;mso-wrap-style:none;z-index:251659264;mso-width-relative:page;mso-height-relative:page;" filled="f" stroked="f" coordsize="21600,21600" o:gfxdata="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LW7l30AAAAAIBAAAPAAAAAAAAAAEAIAAAACIAAABkcnMvZG93&#10;bnJldi54bWxQSwECFAAUAAAACACHTuJAWL+KOAgCAAAABAAADgAAAAAAAAABACAAAAAfAQAAZHJz&#10;L2Uyb0RvYy54bWxQSwUGAAAAAAYABgBZAQAAm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Style w:val="7"/>
                      </w:rPr>
                    </w:pPr>
                    <w:r>
                      <w:fldChar w:fldCharType="begin"/>
                    </w:r>
                    <w:r>
                      <w:rPr>
                        <w:rStyle w:val="7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7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>·让用电更省心·····························································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both"/>
    </w:pPr>
    <w:r>
      <w:rPr>
        <w:rFonts w:hint="eastAsia"/>
      </w:rPr>
      <w:t>　　　　　　　　</w:t>
    </w:r>
    <w:r>
      <w:rPr>
        <w:rFonts w:hint="eastAsia"/>
      </w:rPr>
      <w:drawing>
        <wp:inline distT="0" distB="0" distL="0" distR="0">
          <wp:extent cx="1571625" cy="171450"/>
          <wp:effectExtent l="19050" t="0" r="9525" b="0"/>
          <wp:docPr id="1" name="图片 1" descr="logo(左右组合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logo(左右组合）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71625" cy="171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84C"/>
    <w:rsid w:val="000322CA"/>
    <w:rsid w:val="000362D3"/>
    <w:rsid w:val="000534A5"/>
    <w:rsid w:val="001076A4"/>
    <w:rsid w:val="00123521"/>
    <w:rsid w:val="00142DAC"/>
    <w:rsid w:val="00145AB3"/>
    <w:rsid w:val="002D25AF"/>
    <w:rsid w:val="00315F98"/>
    <w:rsid w:val="0044577A"/>
    <w:rsid w:val="00453437"/>
    <w:rsid w:val="0046584B"/>
    <w:rsid w:val="00492A54"/>
    <w:rsid w:val="00495E94"/>
    <w:rsid w:val="005259BB"/>
    <w:rsid w:val="005261BB"/>
    <w:rsid w:val="00560CF3"/>
    <w:rsid w:val="0057259E"/>
    <w:rsid w:val="00577F0C"/>
    <w:rsid w:val="00590E9A"/>
    <w:rsid w:val="005B6D90"/>
    <w:rsid w:val="005D1CD5"/>
    <w:rsid w:val="005E24EC"/>
    <w:rsid w:val="005F5B45"/>
    <w:rsid w:val="00602F75"/>
    <w:rsid w:val="00606F93"/>
    <w:rsid w:val="006104E2"/>
    <w:rsid w:val="006D5DF9"/>
    <w:rsid w:val="006D74E6"/>
    <w:rsid w:val="007430C8"/>
    <w:rsid w:val="00744A5B"/>
    <w:rsid w:val="00775FA0"/>
    <w:rsid w:val="0078009C"/>
    <w:rsid w:val="007D775D"/>
    <w:rsid w:val="00811433"/>
    <w:rsid w:val="0086668A"/>
    <w:rsid w:val="00895C52"/>
    <w:rsid w:val="00912311"/>
    <w:rsid w:val="00920074"/>
    <w:rsid w:val="00947A7A"/>
    <w:rsid w:val="00956F4C"/>
    <w:rsid w:val="00971B4E"/>
    <w:rsid w:val="009851BD"/>
    <w:rsid w:val="009B375E"/>
    <w:rsid w:val="00A168CE"/>
    <w:rsid w:val="00A532B9"/>
    <w:rsid w:val="00A8363B"/>
    <w:rsid w:val="00A92D64"/>
    <w:rsid w:val="00AF15A4"/>
    <w:rsid w:val="00C01587"/>
    <w:rsid w:val="00C0684C"/>
    <w:rsid w:val="00C21BB1"/>
    <w:rsid w:val="00C53DE6"/>
    <w:rsid w:val="00C54A40"/>
    <w:rsid w:val="00C62910"/>
    <w:rsid w:val="00CE61CC"/>
    <w:rsid w:val="00D15812"/>
    <w:rsid w:val="00D40B60"/>
    <w:rsid w:val="00D661EE"/>
    <w:rsid w:val="00DA18B3"/>
    <w:rsid w:val="00DA2FB0"/>
    <w:rsid w:val="00E16D85"/>
    <w:rsid w:val="00E33D0D"/>
    <w:rsid w:val="00E80FEE"/>
    <w:rsid w:val="00E92F64"/>
    <w:rsid w:val="00E96715"/>
    <w:rsid w:val="00EB3FE0"/>
    <w:rsid w:val="00ED2009"/>
    <w:rsid w:val="00F11FC6"/>
    <w:rsid w:val="00F506D1"/>
    <w:rsid w:val="00FB205D"/>
    <w:rsid w:val="00FB388F"/>
    <w:rsid w:val="00FF28E4"/>
    <w:rsid w:val="5C7B237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uiPriority w:val="0"/>
  </w:style>
  <w:style w:type="character" w:styleId="8">
    <w:name w:val="Hyperlink"/>
    <w:basedOn w:val="6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Char"/>
    <w:basedOn w:val="6"/>
    <w:link w:val="4"/>
    <w:uiPriority w:val="0"/>
    <w:rPr>
      <w:sz w:val="18"/>
      <w:szCs w:val="18"/>
    </w:rPr>
  </w:style>
  <w:style w:type="character" w:customStyle="1" w:styleId="10">
    <w:name w:val="页脚 Char"/>
    <w:basedOn w:val="6"/>
    <w:link w:val="3"/>
    <w:qFormat/>
    <w:uiPriority w:val="0"/>
    <w:rPr>
      <w:sz w:val="18"/>
      <w:szCs w:val="18"/>
    </w:rPr>
  </w:style>
  <w:style w:type="character" w:customStyle="1" w:styleId="11">
    <w:name w:val="批注框文本 Char"/>
    <w:basedOn w:val="6"/>
    <w:link w:val="2"/>
    <w:semiHidden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407</Words>
  <Characters>2325</Characters>
  <Lines>19</Lines>
  <Paragraphs>5</Paragraphs>
  <TotalTime>51</TotalTime>
  <ScaleCrop>false</ScaleCrop>
  <LinksUpToDate>false</LinksUpToDate>
  <CharactersWithSpaces>2727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2020-05-27T09:09:00Z</dcterms:created>
  <dc:creator>黄小芳</dc:creator>
  <cp:lastModifiedBy>Administrator</cp:lastModifiedBy>
  <dcterms:modified xsi:type="dcterms:W3CDTF">2023-10-23T05:08:02Z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4C2ECBBBB72441DCBAD3BC3B27CBF7E4_12</vt:lpwstr>
  </property>
</Properties>
</file>