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676D3">
      <w:pPr>
        <w:jc w:val="center"/>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浙江诸暨八方热电有限责任公司</w:t>
      </w:r>
    </w:p>
    <w:p w14:paraId="775BF7E1">
      <w:pPr>
        <w:jc w:val="center"/>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招聘简章</w:t>
      </w:r>
    </w:p>
    <w:p w14:paraId="1BD8E12F">
      <w:pPr>
        <w:jc w:val="both"/>
        <w:rPr>
          <w:rFonts w:hint="eastAsia" w:ascii="楷体" w:hAnsi="楷体" w:eastAsia="楷体" w:cs="楷体"/>
          <w:b/>
          <w:bCs/>
          <w:sz w:val="28"/>
          <w:szCs w:val="28"/>
          <w:lang w:val="en-US" w:eastAsia="zh-CN"/>
        </w:rPr>
      </w:pPr>
    </w:p>
    <w:p w14:paraId="79E77111">
      <w:pPr>
        <w:keepNext w:val="0"/>
        <w:keepLines w:val="0"/>
        <w:pageBreakBefore w:val="0"/>
        <w:widowControl/>
        <w:kinsoku/>
        <w:wordWrap w:val="0"/>
        <w:overflowPunct/>
        <w:topLinePunct w:val="0"/>
        <w:autoSpaceDE/>
        <w:autoSpaceDN/>
        <w:bidi w:val="0"/>
        <w:adjustRightInd/>
        <w:snapToGrid/>
        <w:spacing w:line="300" w:lineRule="atLeast"/>
        <w:ind w:firstLine="420" w:firstLineChars="200"/>
        <w:textAlignment w:val="auto"/>
        <w:rPr>
          <w:rFonts w:hint="eastAsia" w:ascii="宋体" w:hAnsi="宋体" w:eastAsia="宋体" w:cs="宋体"/>
          <w:color w:val="333333"/>
          <w:kern w:val="0"/>
          <w:szCs w:val="21"/>
          <w:lang w:val="en-US" w:eastAsia="zh-CN"/>
        </w:rPr>
      </w:pPr>
    </w:p>
    <w:p w14:paraId="556F154E">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浙江诸暨八方热电有限责任公司（以下简称“公司”）是新加坡上市企业浙能锦江环境控股有限公司旗下企业。浙能锦江环境控股有限公司是中国垃圾焚烧发电行业的先行者和引领者。1998年，公司在中国建立了第一家异重循环流化床垃圾焚烧发电厂，是中国首家开发异重循环流化床技术并使之工业化的垃圾焚烧发电运营企业。公司具有成熟的投资、建设、运营和管理经验。</w:t>
      </w:r>
    </w:p>
    <w:p w14:paraId="63B71BFC">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2016年8月3日，浙能锦江在新加坡证券交易所主板成功挂牌上市，是发展过程中的重要里程碑。2019年8月21日，浙江省能源集团有限公司（“浙能集团”）入股，成为公司最大控股股东;同年11 月25 日，公司由“中国锦江环境控股有限公司”更名为“浙能锦江环境控股有限公司”，成为浙能集团循环经济发展的主要平台和转型发展的重要抓手。</w:t>
      </w:r>
    </w:p>
    <w:p w14:paraId="779B7F7D">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截至2024年12月31日，集团在中国境内13 个省、自治区和直辖市投资并运营27家垃圾焚烧发电厂，3个餐厨垃圾处理项目和8个垃圾资源化设施，已投入运营的设施的总垃圾处理能力为44,405吨/日，装机容量921兆瓦。所有设施全部建成后，垃圾处理能力预计将达到59,305吨/日，装机容量1,300兆瓦。</w:t>
      </w:r>
    </w:p>
    <w:p w14:paraId="32CE5E2F">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浙能锦江环境垃圾处置能力及地域覆盖范围均居行业前列，浙能锦江力争在国产化垃圾焚烧发电技术方面做推广者和引领者，在流化床技术和炉排炉技术应用方面做整合提升者，在垃圾发电企业运行方面做优秀管理者。当前公司正由单一垃圾焚烧厂，逐步延伸产业链，涉足污泥、餐厨/厨余垃圾处理、病死动物无害化处理等多个领域，对外提供绿色电力、蒸汽、热水等清洁能源， 发挥协同循环优势，依托存量、外延拓展，数字赋能、融合发展，努力融入城市和谐发展，着力打造城市生态综合体，成为“城市之心”“工业之心”，坚定不移走绿色高质量发展之路，满足人民日益增长的对美好生活的环境需求。</w:t>
      </w:r>
    </w:p>
    <w:p w14:paraId="17E47C38">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浙江诸暨八方热电有限责任公司以诸暨市生活垃圾焚烧发电和承担全市供热任务的发电企业，是资源综合利用与热电联产相结合的公司，是浙江省资源综合利用企业、浙江省循环经济“991行动计划”项目、绍兴市“850”工程循环经济项目、2003年诸暨市13大重点基础工程之一。</w:t>
      </w:r>
    </w:p>
    <w:p w14:paraId="0E827316">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公司坐落于诸暨市陶朱街道聚力路2号，公司占地204亩，总投资近10亿元，于2004年9月投产，现规模为七炉四机（2台日处理生活垃圾400吨的炉排、1台日处理生活垃圾400吨的循环流化床垃圾焚烧炉停用改造炉排炉中，配套1台12MW抽凝式汽轮发电机组+1台12MW背压式汽轮发电机组，2台150吨/小时高温高压循环流化床+2台220吨/小时燃煤锅炉配套2台25 MW背压式汽轮发电机组），日发电能力100万千瓦时，处理垃圾1000吨/天，供热约400吨/小时。</w:t>
      </w:r>
    </w:p>
    <w:p w14:paraId="25ABAE99">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根据诸暨市城市生活垃圾不断增长处理需求和整体热力规划及“以热定电、热电联产”，满足国家产业政策及既能减排需求，进步完善整体环境质量，按照以热定电、热电联产、节约能源、保护环境、应地制宜的原则，为完善诸暨市城市功能、提升城市品位、建设山水园林城市起到了积极的推动作用，也为诸暨市的“三创”工作作出了应有的贡献。</w:t>
      </w:r>
    </w:p>
    <w:p w14:paraId="3A2C28B3">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2024年度实现垃圾进厂量41.94万吨、售汽量323.8万吨、完成售电25639.2万度。</w:t>
      </w:r>
    </w:p>
    <w:p w14:paraId="7255F658">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r>
        <w:rPr>
          <w:rFonts w:hint="eastAsia" w:ascii="楷体" w:hAnsi="楷体" w:eastAsia="楷体" w:cs="楷体"/>
          <w:color w:val="333333"/>
          <w:kern w:val="0"/>
          <w:sz w:val="28"/>
          <w:szCs w:val="28"/>
          <w:lang w:val="en-US" w:eastAsia="zh-CN"/>
        </w:rPr>
        <w:t>公司被授予“创建国家卫生城市先进单位”、“浙江省生活垃圾处理设施无害化AA级” 、“浙江省能源计量示范单位”、“浙江省节水型企业”、“绍兴市城市市容环境卫生工作先进集体”、“绍兴市G20杭州分会工作先进单位”“诸暨市文明单位”、“诸暨市劳动关系和谐企业”“诸暨市生态环境产业协会第一届理事会理事单位”等称号。</w:t>
      </w:r>
    </w:p>
    <w:p w14:paraId="6C6DABC3">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p>
    <w:p w14:paraId="74FEF6BC">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p>
    <w:p w14:paraId="20849F4C">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p>
    <w:p w14:paraId="0807CB4E">
      <w:pPr>
        <w:keepNext w:val="0"/>
        <w:keepLines w:val="0"/>
        <w:pageBreakBefore w:val="0"/>
        <w:widowControl/>
        <w:kinsoku/>
        <w:wordWrap w:val="0"/>
        <w:overflowPunct/>
        <w:topLinePunct w:val="0"/>
        <w:autoSpaceDE/>
        <w:autoSpaceDN/>
        <w:bidi w:val="0"/>
        <w:adjustRightInd/>
        <w:snapToGrid/>
        <w:spacing w:line="300" w:lineRule="atLeast"/>
        <w:ind w:firstLine="560" w:firstLineChars="200"/>
        <w:textAlignment w:val="auto"/>
        <w:rPr>
          <w:rFonts w:hint="eastAsia" w:ascii="楷体" w:hAnsi="楷体" w:eastAsia="楷体" w:cs="楷体"/>
          <w:color w:val="333333"/>
          <w:kern w:val="0"/>
          <w:sz w:val="28"/>
          <w:szCs w:val="28"/>
          <w:lang w:val="en-US" w:eastAsia="zh-CN"/>
        </w:rPr>
      </w:pPr>
    </w:p>
    <w:p w14:paraId="39A17423">
      <w:pPr>
        <w:keepNext w:val="0"/>
        <w:keepLines w:val="0"/>
        <w:pageBreakBefore w:val="0"/>
        <w:widowControl/>
        <w:kinsoku/>
        <w:wordWrap w:val="0"/>
        <w:overflowPunct/>
        <w:topLinePunct w:val="0"/>
        <w:autoSpaceDE/>
        <w:autoSpaceDN/>
        <w:bidi w:val="0"/>
        <w:adjustRightInd/>
        <w:snapToGrid/>
        <w:spacing w:line="300" w:lineRule="atLeast"/>
        <w:ind w:firstLine="420" w:firstLineChars="200"/>
        <w:textAlignment w:val="auto"/>
        <w:rPr>
          <w:rFonts w:hint="default" w:ascii="宋体" w:hAnsi="宋体" w:eastAsia="宋体" w:cs="宋体"/>
          <w:color w:val="333333"/>
          <w:kern w:val="0"/>
          <w:szCs w:val="21"/>
          <w:lang w:val="en-US" w:eastAsia="zh-CN"/>
        </w:rPr>
      </w:pPr>
    </w:p>
    <w:p w14:paraId="1536CF16">
      <w:pPr>
        <w:keepNext w:val="0"/>
        <w:keepLines w:val="0"/>
        <w:pageBreakBefore w:val="0"/>
        <w:widowControl/>
        <w:kinsoku/>
        <w:wordWrap w:val="0"/>
        <w:overflowPunct/>
        <w:topLinePunct w:val="0"/>
        <w:autoSpaceDE/>
        <w:autoSpaceDN/>
        <w:bidi w:val="0"/>
        <w:adjustRightInd/>
        <w:snapToGrid/>
        <w:spacing w:line="300" w:lineRule="atLeast"/>
        <w:ind w:firstLine="420" w:firstLineChars="200"/>
        <w:textAlignment w:val="auto"/>
        <w:rPr>
          <w:rFonts w:hint="default" w:ascii="宋体" w:hAnsi="宋体" w:eastAsia="宋体" w:cs="宋体"/>
          <w:color w:val="333333"/>
          <w:kern w:val="0"/>
          <w:szCs w:val="21"/>
          <w:lang w:val="en-US" w:eastAsia="zh-CN"/>
        </w:rPr>
      </w:pPr>
    </w:p>
    <w:p w14:paraId="49FD16F0">
      <w:pPr>
        <w:keepNext w:val="0"/>
        <w:keepLines w:val="0"/>
        <w:pageBreakBefore w:val="0"/>
        <w:widowControl/>
        <w:kinsoku/>
        <w:wordWrap w:val="0"/>
        <w:overflowPunct/>
        <w:topLinePunct w:val="0"/>
        <w:autoSpaceDE/>
        <w:autoSpaceDN/>
        <w:bidi w:val="0"/>
        <w:adjustRightInd/>
        <w:snapToGrid/>
        <w:spacing w:line="300" w:lineRule="atLeast"/>
        <w:ind w:firstLine="420" w:firstLineChars="200"/>
        <w:textAlignment w:val="auto"/>
        <w:rPr>
          <w:rFonts w:hint="default" w:ascii="宋体" w:hAnsi="宋体" w:eastAsia="宋体" w:cs="宋体"/>
          <w:color w:val="333333"/>
          <w:kern w:val="0"/>
          <w:szCs w:val="21"/>
          <w:lang w:val="en-US" w:eastAsia="zh-CN"/>
        </w:rPr>
      </w:pPr>
    </w:p>
    <w:p w14:paraId="0A5A2093">
      <w:pPr>
        <w:keepNext w:val="0"/>
        <w:keepLines w:val="0"/>
        <w:pageBreakBefore w:val="0"/>
        <w:widowControl/>
        <w:kinsoku/>
        <w:wordWrap w:val="0"/>
        <w:overflowPunct/>
        <w:topLinePunct w:val="0"/>
        <w:autoSpaceDE/>
        <w:autoSpaceDN/>
        <w:bidi w:val="0"/>
        <w:adjustRightInd/>
        <w:snapToGrid/>
        <w:spacing w:line="300" w:lineRule="atLeast"/>
        <w:ind w:firstLine="420" w:firstLineChars="200"/>
        <w:textAlignment w:val="auto"/>
        <w:rPr>
          <w:rFonts w:hint="default" w:ascii="宋体" w:hAnsi="宋体" w:eastAsia="宋体" w:cs="宋体"/>
          <w:color w:val="333333"/>
          <w:kern w:val="0"/>
          <w:szCs w:val="21"/>
          <w:lang w:val="en-US" w:eastAsia="zh-CN"/>
        </w:rPr>
      </w:pPr>
    </w:p>
    <w:p w14:paraId="71CAFB6C">
      <w:pPr>
        <w:keepNext w:val="0"/>
        <w:keepLines w:val="0"/>
        <w:pageBreakBefore w:val="0"/>
        <w:widowControl/>
        <w:kinsoku/>
        <w:wordWrap w:val="0"/>
        <w:overflowPunct/>
        <w:topLinePunct w:val="0"/>
        <w:autoSpaceDE/>
        <w:autoSpaceDN/>
        <w:bidi w:val="0"/>
        <w:adjustRightInd/>
        <w:snapToGrid/>
        <w:spacing w:line="300" w:lineRule="atLeast"/>
        <w:ind w:firstLine="420" w:firstLineChars="200"/>
        <w:textAlignment w:val="auto"/>
        <w:rPr>
          <w:rFonts w:hint="default" w:ascii="宋体" w:hAnsi="宋体" w:eastAsia="宋体" w:cs="宋体"/>
          <w:color w:val="333333"/>
          <w:kern w:val="0"/>
          <w:szCs w:val="21"/>
          <w:lang w:val="en-US" w:eastAsia="zh-CN"/>
        </w:rPr>
      </w:pPr>
    </w:p>
    <w:p w14:paraId="5EF72291">
      <w:pPr>
        <w:keepNext w:val="0"/>
        <w:keepLines w:val="0"/>
        <w:pageBreakBefore w:val="0"/>
        <w:widowControl/>
        <w:kinsoku/>
        <w:wordWrap w:val="0"/>
        <w:overflowPunct/>
        <w:topLinePunct w:val="0"/>
        <w:autoSpaceDE/>
        <w:autoSpaceDN/>
        <w:bidi w:val="0"/>
        <w:adjustRightInd/>
        <w:snapToGrid/>
        <w:spacing w:line="300" w:lineRule="atLeast"/>
        <w:ind w:firstLine="420" w:firstLineChars="200"/>
        <w:textAlignment w:val="auto"/>
        <w:rPr>
          <w:rFonts w:hint="default" w:ascii="宋体" w:hAnsi="宋体" w:eastAsia="宋体" w:cs="宋体"/>
          <w:color w:val="333333"/>
          <w:kern w:val="0"/>
          <w:szCs w:val="21"/>
          <w:lang w:val="en-US" w:eastAsia="zh-CN"/>
        </w:rPr>
      </w:pPr>
    </w:p>
    <w:p w14:paraId="4AEFB132">
      <w:pPr>
        <w:keepNext w:val="0"/>
        <w:keepLines w:val="0"/>
        <w:pageBreakBefore w:val="0"/>
        <w:widowControl/>
        <w:kinsoku/>
        <w:wordWrap w:val="0"/>
        <w:overflowPunct/>
        <w:topLinePunct w:val="0"/>
        <w:autoSpaceDE/>
        <w:autoSpaceDN/>
        <w:bidi w:val="0"/>
        <w:adjustRightInd/>
        <w:snapToGrid/>
        <w:spacing w:line="300" w:lineRule="atLeast"/>
        <w:ind w:firstLine="420" w:firstLineChars="200"/>
        <w:textAlignment w:val="auto"/>
        <w:rPr>
          <w:rFonts w:hint="eastAsia" w:ascii="宋体" w:hAnsi="宋体" w:eastAsia="宋体" w:cs="宋体"/>
          <w:color w:val="333333"/>
          <w:kern w:val="0"/>
          <w:szCs w:val="21"/>
          <w:lang w:val="en-US" w:eastAsia="zh-CN"/>
        </w:rPr>
      </w:pPr>
    </w:p>
    <w:p w14:paraId="4FFE618A">
      <w:pPr>
        <w:rPr>
          <w:rFonts w:hint="eastAsia" w:ascii="宋体" w:hAnsi="宋体" w:eastAsia="宋体" w:cs="宋体"/>
          <w:color w:val="333333"/>
          <w:kern w:val="0"/>
          <w:szCs w:val="21"/>
          <w:lang w:val="en-US" w:eastAsia="zh-CN"/>
        </w:rPr>
      </w:pPr>
      <w:r>
        <w:rPr>
          <w:rFonts w:hint="eastAsia" w:ascii="宋体" w:hAnsi="宋体" w:eastAsia="宋体" w:cs="宋体"/>
          <w:color w:val="333333"/>
          <w:kern w:val="0"/>
          <w:szCs w:val="21"/>
          <w:lang w:val="en-US" w:eastAsia="zh-CN"/>
        </w:rPr>
        <w:br w:type="page"/>
      </w:r>
    </w:p>
    <w:p w14:paraId="3F5071CB">
      <w:pPr>
        <w:jc w:val="center"/>
        <w:rPr>
          <w:rFonts w:hint="eastAsia" w:ascii="楷体" w:hAnsi="楷体" w:eastAsia="楷体" w:cs="楷体"/>
          <w:b/>
          <w:bCs/>
          <w:sz w:val="28"/>
          <w:szCs w:val="28"/>
          <w:lang w:val="en-US" w:eastAsia="zh-CN"/>
        </w:rPr>
        <w:sectPr>
          <w:pgSz w:w="11906" w:h="16838"/>
          <w:pgMar w:top="1440" w:right="1800" w:bottom="1440" w:left="1800" w:header="851" w:footer="992" w:gutter="0"/>
          <w:cols w:space="425" w:num="1"/>
          <w:docGrid w:type="lines" w:linePitch="312" w:charSpace="0"/>
        </w:sectPr>
      </w:pPr>
    </w:p>
    <w:p w14:paraId="658E2CFF">
      <w:pPr>
        <w:jc w:val="center"/>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招聘职位</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300"/>
        <w:gridCol w:w="4209"/>
        <w:gridCol w:w="850"/>
        <w:gridCol w:w="1717"/>
        <w:gridCol w:w="1717"/>
        <w:gridCol w:w="3400"/>
      </w:tblGrid>
      <w:tr w14:paraId="1DF1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53" w:type="dxa"/>
            <w:vAlign w:val="center"/>
          </w:tcPr>
          <w:p w14:paraId="7C351BD4">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序号</w:t>
            </w:r>
          </w:p>
        </w:tc>
        <w:tc>
          <w:tcPr>
            <w:tcW w:w="1300" w:type="dxa"/>
            <w:vAlign w:val="center"/>
          </w:tcPr>
          <w:p w14:paraId="69BDC79F">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职位</w:t>
            </w:r>
          </w:p>
        </w:tc>
        <w:tc>
          <w:tcPr>
            <w:tcW w:w="4209" w:type="dxa"/>
            <w:vAlign w:val="center"/>
          </w:tcPr>
          <w:p w14:paraId="12607606">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招聘条件</w:t>
            </w:r>
          </w:p>
        </w:tc>
        <w:tc>
          <w:tcPr>
            <w:tcW w:w="850" w:type="dxa"/>
            <w:vAlign w:val="center"/>
          </w:tcPr>
          <w:p w14:paraId="554DA89B">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人数</w:t>
            </w:r>
          </w:p>
        </w:tc>
        <w:tc>
          <w:tcPr>
            <w:tcW w:w="1717" w:type="dxa"/>
            <w:vAlign w:val="center"/>
          </w:tcPr>
          <w:p w14:paraId="6DB977A4">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月薪酬待遇（元）</w:t>
            </w:r>
          </w:p>
        </w:tc>
        <w:tc>
          <w:tcPr>
            <w:tcW w:w="1717" w:type="dxa"/>
            <w:vAlign w:val="center"/>
          </w:tcPr>
          <w:p w14:paraId="7576E11A">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工作时间</w:t>
            </w:r>
          </w:p>
        </w:tc>
        <w:tc>
          <w:tcPr>
            <w:tcW w:w="3400" w:type="dxa"/>
            <w:vAlign w:val="center"/>
          </w:tcPr>
          <w:p w14:paraId="450709AA">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备注</w:t>
            </w:r>
          </w:p>
        </w:tc>
      </w:tr>
      <w:tr w14:paraId="5B78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53" w:type="dxa"/>
            <w:vAlign w:val="center"/>
          </w:tcPr>
          <w:p w14:paraId="6781ECDF">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1</w:t>
            </w:r>
          </w:p>
        </w:tc>
        <w:tc>
          <w:tcPr>
            <w:tcW w:w="1300" w:type="dxa"/>
            <w:vAlign w:val="center"/>
          </w:tcPr>
          <w:p w14:paraId="25E4D6DE">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电气运行</w:t>
            </w:r>
          </w:p>
        </w:tc>
        <w:tc>
          <w:tcPr>
            <w:tcW w:w="4209" w:type="dxa"/>
            <w:vMerge w:val="restart"/>
            <w:vAlign w:val="center"/>
          </w:tcPr>
          <w:p w14:paraId="351FE6C7">
            <w:pPr>
              <w:jc w:val="left"/>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大专及以上学历，电气工程及其自动化、热能动力工程技术、机电一体化、发电运行技术、发电厂及电力系统、大数据技术、电力系统自动化技术等相关专业</w:t>
            </w:r>
          </w:p>
        </w:tc>
        <w:tc>
          <w:tcPr>
            <w:tcW w:w="850" w:type="dxa"/>
            <w:vAlign w:val="center"/>
          </w:tcPr>
          <w:p w14:paraId="6B082380">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2</w:t>
            </w:r>
          </w:p>
        </w:tc>
        <w:tc>
          <w:tcPr>
            <w:tcW w:w="1717" w:type="dxa"/>
            <w:vAlign w:val="center"/>
          </w:tcPr>
          <w:p w14:paraId="7A72A10E">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5000-6000</w:t>
            </w:r>
          </w:p>
        </w:tc>
        <w:tc>
          <w:tcPr>
            <w:tcW w:w="1717" w:type="dxa"/>
            <w:vAlign w:val="center"/>
          </w:tcPr>
          <w:p w14:paraId="73B72221">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四班三倒</w:t>
            </w:r>
          </w:p>
        </w:tc>
        <w:tc>
          <w:tcPr>
            <w:tcW w:w="3400" w:type="dxa"/>
            <w:vMerge w:val="restart"/>
            <w:vAlign w:val="center"/>
          </w:tcPr>
          <w:p w14:paraId="1D599F8C">
            <w:pPr>
              <w:jc w:val="left"/>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缴纳五险一金、加班补助、年终奖、节日福利、带薪年假，餐补、提供住宿等等</w:t>
            </w:r>
          </w:p>
        </w:tc>
      </w:tr>
      <w:tr w14:paraId="278B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53" w:type="dxa"/>
            <w:vAlign w:val="center"/>
          </w:tcPr>
          <w:p w14:paraId="2081C3AB">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2</w:t>
            </w:r>
          </w:p>
        </w:tc>
        <w:tc>
          <w:tcPr>
            <w:tcW w:w="1300" w:type="dxa"/>
            <w:vAlign w:val="center"/>
          </w:tcPr>
          <w:p w14:paraId="409177F6">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汽机运行</w:t>
            </w:r>
          </w:p>
        </w:tc>
        <w:tc>
          <w:tcPr>
            <w:tcW w:w="4209" w:type="dxa"/>
            <w:vMerge w:val="continue"/>
            <w:vAlign w:val="center"/>
          </w:tcPr>
          <w:p w14:paraId="6188A63C">
            <w:pPr>
              <w:jc w:val="left"/>
              <w:rPr>
                <w:rFonts w:hint="default" w:ascii="楷体" w:hAnsi="楷体" w:eastAsia="楷体" w:cs="楷体"/>
                <w:b/>
                <w:bCs/>
                <w:sz w:val="21"/>
                <w:szCs w:val="21"/>
                <w:vertAlign w:val="baseline"/>
                <w:lang w:val="en-US" w:eastAsia="zh-CN"/>
              </w:rPr>
            </w:pPr>
          </w:p>
        </w:tc>
        <w:tc>
          <w:tcPr>
            <w:tcW w:w="850" w:type="dxa"/>
            <w:vAlign w:val="center"/>
          </w:tcPr>
          <w:p w14:paraId="5AD02DEC">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2</w:t>
            </w:r>
          </w:p>
        </w:tc>
        <w:tc>
          <w:tcPr>
            <w:tcW w:w="1717" w:type="dxa"/>
            <w:vAlign w:val="center"/>
          </w:tcPr>
          <w:p w14:paraId="285346F3">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5000-6000</w:t>
            </w:r>
          </w:p>
        </w:tc>
        <w:tc>
          <w:tcPr>
            <w:tcW w:w="1717" w:type="dxa"/>
            <w:shd w:val="clear" w:color="auto" w:fill="auto"/>
            <w:vAlign w:val="center"/>
          </w:tcPr>
          <w:p w14:paraId="30A35D6D">
            <w:pPr>
              <w:jc w:val="center"/>
              <w:rPr>
                <w:rFonts w:hint="default" w:ascii="楷体" w:hAnsi="楷体" w:eastAsia="楷体" w:cs="楷体"/>
                <w:b/>
                <w:bCs/>
                <w:kern w:val="2"/>
                <w:sz w:val="21"/>
                <w:szCs w:val="21"/>
                <w:vertAlign w:val="baseline"/>
                <w:lang w:val="en-US" w:eastAsia="zh-CN" w:bidi="ar-SA"/>
              </w:rPr>
            </w:pPr>
            <w:r>
              <w:rPr>
                <w:rFonts w:hint="eastAsia" w:ascii="楷体" w:hAnsi="楷体" w:eastAsia="楷体" w:cs="楷体"/>
                <w:b/>
                <w:bCs/>
                <w:sz w:val="21"/>
                <w:szCs w:val="21"/>
                <w:vertAlign w:val="baseline"/>
                <w:lang w:val="en-US" w:eastAsia="zh-CN"/>
              </w:rPr>
              <w:t>四班三倒</w:t>
            </w:r>
          </w:p>
        </w:tc>
        <w:tc>
          <w:tcPr>
            <w:tcW w:w="3400" w:type="dxa"/>
            <w:vMerge w:val="continue"/>
            <w:shd w:val="clear" w:color="auto" w:fill="auto"/>
            <w:vAlign w:val="center"/>
          </w:tcPr>
          <w:p w14:paraId="50ADB497">
            <w:pPr>
              <w:jc w:val="center"/>
              <w:rPr>
                <w:rFonts w:hint="eastAsia" w:ascii="楷体" w:hAnsi="楷体" w:eastAsia="楷体" w:cs="楷体"/>
                <w:b/>
                <w:bCs/>
                <w:sz w:val="21"/>
                <w:szCs w:val="21"/>
                <w:vertAlign w:val="baseline"/>
                <w:lang w:val="en-US" w:eastAsia="zh-CN"/>
              </w:rPr>
            </w:pPr>
          </w:p>
        </w:tc>
      </w:tr>
      <w:tr w14:paraId="5D44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653" w:type="dxa"/>
            <w:vAlign w:val="center"/>
          </w:tcPr>
          <w:p w14:paraId="7F531C82">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3</w:t>
            </w:r>
          </w:p>
        </w:tc>
        <w:tc>
          <w:tcPr>
            <w:tcW w:w="1300" w:type="dxa"/>
            <w:vAlign w:val="center"/>
          </w:tcPr>
          <w:p w14:paraId="62F7B9E9">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锅炉运行</w:t>
            </w:r>
          </w:p>
        </w:tc>
        <w:tc>
          <w:tcPr>
            <w:tcW w:w="4209" w:type="dxa"/>
            <w:vMerge w:val="continue"/>
            <w:vAlign w:val="center"/>
          </w:tcPr>
          <w:p w14:paraId="37026CE3">
            <w:pPr>
              <w:jc w:val="left"/>
              <w:rPr>
                <w:rFonts w:hint="default" w:ascii="楷体" w:hAnsi="楷体" w:eastAsia="楷体" w:cs="楷体"/>
                <w:b/>
                <w:bCs/>
                <w:sz w:val="21"/>
                <w:szCs w:val="21"/>
                <w:vertAlign w:val="baseline"/>
                <w:lang w:val="en-US" w:eastAsia="zh-CN"/>
              </w:rPr>
            </w:pPr>
          </w:p>
        </w:tc>
        <w:tc>
          <w:tcPr>
            <w:tcW w:w="850" w:type="dxa"/>
            <w:vAlign w:val="center"/>
          </w:tcPr>
          <w:p w14:paraId="6092A6F6">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4</w:t>
            </w:r>
          </w:p>
        </w:tc>
        <w:tc>
          <w:tcPr>
            <w:tcW w:w="1717" w:type="dxa"/>
            <w:vAlign w:val="center"/>
          </w:tcPr>
          <w:p w14:paraId="791865D9">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5500-6500</w:t>
            </w:r>
          </w:p>
        </w:tc>
        <w:tc>
          <w:tcPr>
            <w:tcW w:w="1717" w:type="dxa"/>
            <w:shd w:val="clear" w:color="auto" w:fill="auto"/>
            <w:vAlign w:val="center"/>
          </w:tcPr>
          <w:p w14:paraId="1978FB17">
            <w:pPr>
              <w:jc w:val="center"/>
              <w:rPr>
                <w:rFonts w:hint="default" w:ascii="楷体" w:hAnsi="楷体" w:eastAsia="楷体" w:cs="楷体"/>
                <w:b/>
                <w:bCs/>
                <w:kern w:val="2"/>
                <w:sz w:val="21"/>
                <w:szCs w:val="21"/>
                <w:vertAlign w:val="baseline"/>
                <w:lang w:val="en-US" w:eastAsia="zh-CN" w:bidi="ar-SA"/>
              </w:rPr>
            </w:pPr>
            <w:r>
              <w:rPr>
                <w:rFonts w:hint="eastAsia" w:ascii="楷体" w:hAnsi="楷体" w:eastAsia="楷体" w:cs="楷体"/>
                <w:b/>
                <w:bCs/>
                <w:sz w:val="21"/>
                <w:szCs w:val="21"/>
                <w:vertAlign w:val="baseline"/>
                <w:lang w:val="en-US" w:eastAsia="zh-CN"/>
              </w:rPr>
              <w:t>四班三倒</w:t>
            </w:r>
          </w:p>
        </w:tc>
        <w:tc>
          <w:tcPr>
            <w:tcW w:w="3400" w:type="dxa"/>
            <w:vMerge w:val="continue"/>
            <w:shd w:val="clear" w:color="auto" w:fill="auto"/>
            <w:vAlign w:val="center"/>
          </w:tcPr>
          <w:p w14:paraId="2C7BB969">
            <w:pPr>
              <w:jc w:val="center"/>
              <w:rPr>
                <w:rFonts w:hint="eastAsia" w:ascii="楷体" w:hAnsi="楷体" w:eastAsia="楷体" w:cs="楷体"/>
                <w:b/>
                <w:bCs/>
                <w:sz w:val="21"/>
                <w:szCs w:val="21"/>
                <w:vertAlign w:val="baseline"/>
                <w:lang w:val="en-US" w:eastAsia="zh-CN"/>
              </w:rPr>
            </w:pPr>
          </w:p>
        </w:tc>
      </w:tr>
      <w:tr w14:paraId="5DB6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53" w:type="dxa"/>
            <w:vAlign w:val="center"/>
          </w:tcPr>
          <w:p w14:paraId="2C9AFA05">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4</w:t>
            </w:r>
          </w:p>
        </w:tc>
        <w:tc>
          <w:tcPr>
            <w:tcW w:w="1300" w:type="dxa"/>
            <w:vAlign w:val="center"/>
          </w:tcPr>
          <w:p w14:paraId="6BC8B7C3">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机务检修</w:t>
            </w:r>
          </w:p>
        </w:tc>
        <w:tc>
          <w:tcPr>
            <w:tcW w:w="4209" w:type="dxa"/>
            <w:vAlign w:val="center"/>
          </w:tcPr>
          <w:p w14:paraId="4AD7DF18">
            <w:pPr>
              <w:jc w:val="left"/>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大专及以上学历，有焊工证、高空作业证者优先</w:t>
            </w:r>
          </w:p>
        </w:tc>
        <w:tc>
          <w:tcPr>
            <w:tcW w:w="850" w:type="dxa"/>
            <w:vAlign w:val="center"/>
          </w:tcPr>
          <w:p w14:paraId="69067A7A">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2</w:t>
            </w:r>
          </w:p>
        </w:tc>
        <w:tc>
          <w:tcPr>
            <w:tcW w:w="1717" w:type="dxa"/>
            <w:vAlign w:val="center"/>
          </w:tcPr>
          <w:p w14:paraId="6D2C1CBF">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4600-5500</w:t>
            </w:r>
          </w:p>
        </w:tc>
        <w:tc>
          <w:tcPr>
            <w:tcW w:w="1717" w:type="dxa"/>
            <w:vAlign w:val="center"/>
          </w:tcPr>
          <w:p w14:paraId="31614440">
            <w:pPr>
              <w:jc w:val="center"/>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双休</w:t>
            </w:r>
          </w:p>
        </w:tc>
        <w:tc>
          <w:tcPr>
            <w:tcW w:w="3400" w:type="dxa"/>
            <w:vMerge w:val="continue"/>
            <w:vAlign w:val="center"/>
          </w:tcPr>
          <w:p w14:paraId="2841A4DE">
            <w:pPr>
              <w:jc w:val="center"/>
              <w:rPr>
                <w:rFonts w:hint="eastAsia" w:ascii="楷体" w:hAnsi="楷体" w:eastAsia="楷体" w:cs="楷体"/>
                <w:b/>
                <w:bCs/>
                <w:sz w:val="21"/>
                <w:szCs w:val="21"/>
                <w:vertAlign w:val="baseline"/>
                <w:lang w:val="en-US" w:eastAsia="zh-CN"/>
              </w:rPr>
            </w:pPr>
          </w:p>
        </w:tc>
      </w:tr>
    </w:tbl>
    <w:p w14:paraId="1FF8CB7A">
      <w:pPr>
        <w:jc w:val="both"/>
        <w:rPr>
          <w:rFonts w:hint="default" w:ascii="楷体" w:hAnsi="楷体" w:eastAsia="楷体" w:cs="楷体"/>
          <w:b/>
          <w:bCs/>
          <w:sz w:val="28"/>
          <w:szCs w:val="28"/>
          <w:lang w:val="en-US" w:eastAsia="zh-CN"/>
        </w:rPr>
      </w:pPr>
    </w:p>
    <w:p w14:paraId="78B90E4C">
      <w:pPr>
        <w:jc w:val="center"/>
        <w:rPr>
          <w:rFonts w:hint="eastAsia" w:ascii="楷体" w:hAnsi="楷体" w:eastAsia="楷体" w:cs="楷体"/>
          <w:b/>
          <w:bCs/>
          <w:sz w:val="28"/>
          <w:szCs w:val="28"/>
          <w:lang w:val="en-US" w:eastAsia="zh-CN"/>
        </w:rPr>
      </w:pPr>
      <w:bookmarkStart w:id="0" w:name="_GoBack"/>
      <w:bookmarkEnd w:id="0"/>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92759"/>
    <w:rsid w:val="19193365"/>
    <w:rsid w:val="1BA72BAF"/>
    <w:rsid w:val="31F6134A"/>
    <w:rsid w:val="470129FE"/>
    <w:rsid w:val="62442A61"/>
    <w:rsid w:val="6E573888"/>
    <w:rsid w:val="78733A12"/>
    <w:rsid w:val="79150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1617</Words>
  <Characters>1753</Characters>
  <Lines>0</Lines>
  <Paragraphs>0</Paragraphs>
  <TotalTime>37</TotalTime>
  <ScaleCrop>false</ScaleCrop>
  <LinksUpToDate>false</LinksUpToDate>
  <CharactersWithSpaces>1759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2025-06-10T00:49:00Z</dcterms:created>
  <dc:creator>Administrator</dc:creator>
  <cp:lastModifiedBy>Hana</cp:lastModifiedBy>
  <dcterms:modified xsi:type="dcterms:W3CDTF">2025-06-21T01:28:50Z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eyJoZGlkIjoiOGIyNjU0YTY0YjA2ZTcyYTZhM2Y0YTg4Nzk1NGNkMzUiLCJ1c2VySWQiOiI1OTc3MjEyMjgifQ==</vt:lpwstr>
  </property>
  <property fmtid="{D5CDD505-2E9C-101B-9397-08002B2CF9AE}" pid="4" name="ICV">
    <vt:lpwstr>83396BBECC4244F49EF758E8CE615E07_13</vt:lpwstr>
  </property>
</Properties>
</file>