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B5AF42">
      <w:pPr>
        <w:pStyle w:val="14"/>
        <w:jc w:val="left"/>
        <w:rPr>
          <w:rFonts w:ascii="仿宋" w:hAnsi="仿宋" w:eastAsia="仿宋" w:cs="宋体"/>
          <w:bCs/>
          <w:lang w:bidi="en-US"/>
        </w:rPr>
      </w:pPr>
      <w:r>
        <w:drawing>
          <wp:inline distT="0" distB="0" distL="0" distR="0">
            <wp:extent cx="2016125" cy="552450"/>
            <wp:effectExtent l="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12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宋体"/>
          <w:bCs/>
          <w:lang w:bidi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1023620</wp:posOffset>
                </wp:positionH>
                <wp:positionV relativeFrom="paragraph">
                  <wp:posOffset>9601200</wp:posOffset>
                </wp:positionV>
                <wp:extent cx="5133975" cy="791845"/>
                <wp:effectExtent l="4445" t="4445" r="5080" b="22860"/>
                <wp:wrapNone/>
                <wp:docPr id="4" name="卷形: 水平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3975" cy="79184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F1010AC">
                            <w:pPr>
                              <w:jc w:val="left"/>
                              <w:rPr>
                                <w:rFonts w:ascii="黑体" w:hAnsi="黑体" w:eastAsia="黑体"/>
                                <w:b/>
                              </w:rPr>
                            </w:pPr>
                            <w:r>
                              <w:rPr>
                                <w:rFonts w:ascii="黑体" w:hAnsi="黑体" w:eastAsia="黑体" w:cs="宋体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bidi="en-US"/>
                              </w:rPr>
                              <w:t>我们视员工为公司发展的重要财富,为员工提供广阔的职业发展机会与自我才能展示的舞台,诚邀有志于环保事业的优秀毕业生</w:t>
                            </w:r>
                            <w:r>
                              <w:rPr>
                                <w:rFonts w:hint="eastAsia" w:ascii="黑体" w:hAnsi="黑体" w:eastAsia="黑体" w:cs="宋体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val="en-US" w:eastAsia="zh-CN" w:bidi="en-US"/>
                              </w:rPr>
                              <w:t>及实习生</w:t>
                            </w:r>
                            <w:r>
                              <w:rPr>
                                <w:rFonts w:ascii="黑体" w:hAnsi="黑体" w:eastAsia="黑体" w:cs="宋体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bidi="en-US"/>
                              </w:rPr>
                              <w:t>加盟!</w:t>
                            </w:r>
                          </w:p>
                        </w:txbxContent>
                      </wps:txbx>
                      <wps:bodyPr vert="horz" anchor="ctr" upright="1"/>
                    </wps:wsp>
                  </a:graphicData>
                </a:graphic>
              </wp:anchor>
            </w:drawing>
          </mc:Choice>
          <mc:Fallback>
            <w:pict>
              <v:shape id="卷形: 水平 5" o:spid="_x0000_s1026" o:spt="98" type="#_x0000_t98" style="position:absolute;left:0pt;margin-left:80.6pt;margin-top:756pt;height:62.35pt;width:404.25pt;mso-position-horizontal-relative:margin;z-index:251661312;v-text-anchor:middle;mso-width-relative:page;mso-height-relative:page;" filled="f" stroked="t" coordsize="21600,21600" o:gfxdata="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CSiPCdgAAAANAQAADwAAAAAAAAABACAAAAAiAAAAZHJzL2Rvd25yZXYueG1s&#10;UEsBAhQAFAAAAAgAh07iQK/mZUQxAgAATwQAAA4AAAAAAAAAAQAgAAAAJwEAAGRycy9lMm9Eb2Mu&#10;eG1sUEsFBgAAAAAGAAYAWQEAAMoFAAAAAA==&#10;" adj="2700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 w14:paraId="0F1010AC">
                      <w:pPr>
                        <w:jc w:val="left"/>
                        <w:rPr>
                          <w:rFonts w:ascii="黑体" w:hAnsi="黑体" w:eastAsia="黑体"/>
                          <w:b/>
                        </w:rPr>
                      </w:pPr>
                      <w:r>
                        <w:rPr>
                          <w:rFonts w:ascii="黑体" w:hAnsi="黑体" w:eastAsia="黑体" w:cs="宋体"/>
                          <w:b/>
                          <w:bCs/>
                          <w:kern w:val="0"/>
                          <w:sz w:val="24"/>
                          <w:szCs w:val="24"/>
                          <w:lang w:bidi="en-US"/>
                        </w:rPr>
                        <w:t>我们视员工为公司发展的重要财富,为员工提供广阔的职业发展机会与自我才能展示的舞台,诚邀有志于环保事业的优秀毕业生</w:t>
                      </w:r>
                      <w:r>
                        <w:rPr>
                          <w:rFonts w:hint="eastAsia" w:ascii="黑体" w:hAnsi="黑体" w:eastAsia="黑体" w:cs="宋体"/>
                          <w:b/>
                          <w:bCs/>
                          <w:kern w:val="0"/>
                          <w:sz w:val="24"/>
                          <w:szCs w:val="24"/>
                          <w:lang w:val="en-US" w:eastAsia="zh-CN" w:bidi="en-US"/>
                        </w:rPr>
                        <w:t>及实习生</w:t>
                      </w:r>
                      <w:r>
                        <w:rPr>
                          <w:rFonts w:ascii="黑体" w:hAnsi="黑体" w:eastAsia="黑体" w:cs="宋体"/>
                          <w:b/>
                          <w:bCs/>
                          <w:kern w:val="0"/>
                          <w:sz w:val="24"/>
                          <w:szCs w:val="24"/>
                          <w:lang w:bidi="en-US"/>
                        </w:rPr>
                        <w:t>加盟!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rFonts w:ascii="仿宋" w:hAnsi="仿宋" w:eastAsia="仿宋" w:cs="宋体"/>
          <w:bCs/>
          <w:lang w:bidi="en-U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74930</wp:posOffset>
                </wp:positionH>
                <wp:positionV relativeFrom="margin">
                  <wp:posOffset>1033145</wp:posOffset>
                </wp:positionV>
                <wp:extent cx="7119620" cy="8588375"/>
                <wp:effectExtent l="0" t="0" r="0" b="0"/>
                <wp:wrapSquare wrapText="bothSides"/>
                <wp:docPr id="7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21600000">
                          <a:off x="0" y="0"/>
                          <a:ext cx="7119620" cy="8588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C21CAD8"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 w:val="24"/>
                                <w:szCs w:val="24"/>
                              </w:rPr>
                              <w:t>公司简介：</w:t>
                            </w:r>
                          </w:p>
                          <w:p w14:paraId="021423C2">
                            <w:pPr>
                              <w:spacing w:line="320" w:lineRule="exact"/>
                              <w:ind w:firstLine="420" w:firstLineChars="200"/>
                              <w:rPr>
                                <w:rFonts w:ascii="微软雅黑" w:hAnsi="微软雅黑" w:eastAsia="微软雅黑"/>
                                <w:iCs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Cs w:val="21"/>
                              </w:rPr>
                              <w:t>中国光大环境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Cs w:val="21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Cs w:val="21"/>
                                <w:lang w:val="en-US" w:eastAsia="zh-CN"/>
                              </w:rPr>
                              <w:t>集团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Cs w:val="21"/>
                                <w:lang w:eastAsia="zh-CN"/>
                              </w:rPr>
                              <w:t>）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Cs w:val="21"/>
                              </w:rPr>
                              <w:t>有限公司（「光大环境」），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</w:rPr>
                              <w:t>1993年在香港创立，为光大集团骨干企业，香港主板上市公司（257.HK ）。央企中的外企，呈现出更高的效率与活力；外企中的央企，拥有更强的责任与实力。</w:t>
                            </w:r>
                          </w:p>
                          <w:p w14:paraId="68FC1A3C">
                            <w:pPr>
                              <w:spacing w:line="320" w:lineRule="exact"/>
                              <w:ind w:firstLine="420" w:firstLineChars="200"/>
                              <w:rPr>
                                <w:rFonts w:ascii="微软雅黑" w:hAnsi="微软雅黑" w:eastAsia="微软雅黑"/>
                                <w:iCs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</w:rPr>
                              <w:t>公司经过十多年发展，现已成为中国乃至亚洲环保行业领军企业、世界知名生态环境集团。下辖两家上市企业：新加坡及香港上市之光大水务（U9E.SG及1857.HK ）以及香港上市之光大绿色环保（1257.HK ）。国内业务遍及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  <w:lang w:val="en-US" w:eastAsia="zh-CN"/>
                              </w:rPr>
                              <w:t>26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</w:rPr>
                              <w:t>个省（市）；海外业务已布局德国、波兰及越南市场。</w:t>
                            </w:r>
                          </w:p>
                          <w:p w14:paraId="130950BA">
                            <w:pPr>
                              <w:spacing w:line="320" w:lineRule="exact"/>
                              <w:ind w:firstLine="412" w:firstLineChars="196"/>
                              <w:rPr>
                                <w:rFonts w:ascii="微软雅黑" w:hAnsi="微软雅黑" w:eastAsia="微软雅黑"/>
                                <w:iCs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Cs w:val="21"/>
                              </w:rPr>
                              <w:t>光大环保（中国）有限公司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</w:rPr>
                              <w:t>——亚洲最大垃圾发电投资运营商。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Cs w:val="21"/>
                              </w:rPr>
                              <w:t>光大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Cs w:val="21"/>
                                <w:lang w:val="en-US" w:eastAsia="zh-CN"/>
                              </w:rPr>
                              <w:t>环境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Cs w:val="21"/>
                              </w:rPr>
                              <w:t>旗下规模最大、业务占比最高的核心业务板块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</w:rPr>
                              <w:t>。业务包括：垃圾发电、 餐厨垃圾处理、渗滤液处理、飞灰处理、沼气发电、污泥处理处置、环保产业园开发等，投资项目逾150个，总投资约人民币705.94亿元，所有项目均按国际水准建设运营，旗下1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</w:rPr>
                              <w:t>个项目获国家AAA级垃圾焚烧发电厂评定，是中国垃圾发电领域邻避效应化解最好的企业。</w:t>
                            </w:r>
                          </w:p>
                          <w:p w14:paraId="58C8565D">
                            <w:pPr>
                              <w:spacing w:line="320" w:lineRule="exact"/>
                              <w:ind w:firstLine="420" w:firstLineChars="200"/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iCs/>
                                <w:szCs w:val="21"/>
                              </w:rPr>
                              <w:t>光大环保南京区域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</w:rPr>
                              <w:t>——横跨江苏、江西、安徽、湖北四省，辖属南京、镇江、高淳、邳州、沛县、泗阳、宝应、宿迁、马鞍山、丹阳、盐城、吉安、九江、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iCs/>
                                <w:color w:val="0000FF"/>
                                <w:szCs w:val="21"/>
                              </w:rPr>
                              <w:t>鹰潭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</w:rPr>
                              <w:t>、孝昌、东海、修水、永新、天门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  <w:lang w:val="en-US" w:eastAsia="zh-CN"/>
                              </w:rPr>
                              <w:t>29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</w:rPr>
                              <w:t>个垃圾焚烧发电及餐厨垃圾处理等项目。</w:t>
                            </w:r>
                          </w:p>
                          <w:p w14:paraId="39344ED4">
                            <w:pPr>
                              <w:spacing w:line="320" w:lineRule="exact"/>
                              <w:ind w:firstLine="420" w:firstLineChars="200"/>
                              <w:rPr>
                                <w:rFonts w:hint="eastAsia" w:ascii="微软雅黑" w:hAnsi="微软雅黑" w:eastAsia="微软雅黑"/>
                                <w:iCs/>
                                <w:szCs w:val="21"/>
                              </w:rPr>
                            </w:pPr>
                          </w:p>
                          <w:p w14:paraId="493A7B18"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 w:val="24"/>
                                <w:szCs w:val="24"/>
                              </w:rPr>
                              <w:t>企业荣誉：</w:t>
                            </w:r>
                          </w:p>
                          <w:p w14:paraId="44B3E875">
                            <w:pPr>
                              <w:spacing w:line="320" w:lineRule="exact"/>
                              <w:ind w:firstLine="440" w:firstLineChars="200"/>
                              <w:rPr>
                                <w:rFonts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333333"/>
                                <w:spacing w:val="0"/>
                                <w:sz w:val="22"/>
                                <w:szCs w:val="22"/>
                                <w:shd w:val="clear" w:fill="FFFFFF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333333"/>
                                <w:spacing w:val="0"/>
                                <w:sz w:val="22"/>
                                <w:szCs w:val="22"/>
                                <w:shd w:val="clear" w:fill="FFFFFF"/>
                              </w:rPr>
                              <w:t>作为「一带一路」绿色发展国际联盟和长江经济带生态大保护的战略合作伙伴，光大环境秉承「情系生态环境，筑梦美丽中国」的使命担当，连续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333333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</w:rPr>
                              <w:t>14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333333"/>
                                <w:spacing w:val="0"/>
                                <w:sz w:val="22"/>
                                <w:szCs w:val="22"/>
                                <w:shd w:val="clear" w:fill="FFFFFF"/>
                              </w:rPr>
                              <w:t>年稳居「中国固废十大影响力企业」首位、连续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333333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333333"/>
                                <w:spacing w:val="0"/>
                                <w:sz w:val="22"/>
                                <w:szCs w:val="22"/>
                                <w:shd w:val="clear" w:fill="FFFFFF"/>
                              </w:rPr>
                              <w:t>年蝉联中国环境企业50强榜首。与此同时，公司以「创造投资价值，承担社会责任」为企业追求，连续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333333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</w:rPr>
                              <w:t>9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333333"/>
                                <w:spacing w:val="0"/>
                                <w:sz w:val="22"/>
                                <w:szCs w:val="22"/>
                                <w:shd w:val="clear" w:fill="FFFFFF"/>
                              </w:rPr>
                              <w:t>年获纳入道琼斯可持续发展指数系列、连续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333333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</w:rPr>
                              <w:t>14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333333"/>
                                <w:spacing w:val="0"/>
                                <w:sz w:val="22"/>
                                <w:szCs w:val="22"/>
                                <w:shd w:val="clear" w:fill="FFFFFF"/>
                              </w:rPr>
                              <w:t>年获纳入恒生可持续发展企业基准指数、于2022年首次获颁香港质量保证局「实现碳中和」证书及「碳中和贡献先锋机构」嘉许、并曾多次入选标普全球《可持续发展年鉴》。</w:t>
                            </w:r>
                          </w:p>
                          <w:p w14:paraId="1FE89A55">
                            <w:pPr>
                              <w:spacing w:line="320" w:lineRule="exact"/>
                              <w:ind w:firstLine="440" w:firstLineChars="200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333333"/>
                                <w:spacing w:val="0"/>
                                <w:sz w:val="22"/>
                                <w:szCs w:val="22"/>
                                <w:shd w:val="clear" w:fill="FFFFFF"/>
                              </w:rPr>
                            </w:pPr>
                          </w:p>
                          <w:p w14:paraId="2A8C2A38"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 w:val="24"/>
                                <w:szCs w:val="24"/>
                              </w:rPr>
                              <w:t>岗位需求（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 w:val="24"/>
                                <w:szCs w:val="24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 w:val="24"/>
                                <w:szCs w:val="24"/>
                              </w:rPr>
                              <w:t>人）：</w:t>
                            </w:r>
                          </w:p>
                          <w:p w14:paraId="4A9B979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ascii="微软雅黑" w:hAnsi="微软雅黑" w:eastAsia="微软雅黑"/>
                                <w:iCs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生产运行部（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全能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值班员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4名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）：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热能动力工程技术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专业</w:t>
                            </w:r>
                          </w:p>
                          <w:p w14:paraId="467EB73A">
                            <w:pPr>
                              <w:pStyle w:val="23"/>
                              <w:numPr>
                                <w:ilvl w:val="0"/>
                                <w:numId w:val="0"/>
                              </w:numPr>
                              <w:spacing w:line="320" w:lineRule="exact"/>
                              <w:ind w:left="420" w:leftChars="0"/>
                              <w:rPr>
                                <w:rFonts w:ascii="微软雅黑" w:hAnsi="微软雅黑" w:eastAsia="微软雅黑"/>
                                <w:iCs/>
                                <w:szCs w:val="21"/>
                              </w:rPr>
                            </w:pPr>
                          </w:p>
                          <w:p w14:paraId="69F61D01"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 w:val="24"/>
                                <w:szCs w:val="24"/>
                              </w:rPr>
                              <w:t>员工福利:</w:t>
                            </w:r>
                          </w:p>
                          <w:p w14:paraId="5678B29E">
                            <w:pPr>
                              <w:pStyle w:val="23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六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险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二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金：五险一金（社保+住房公积金）+商业补充保险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+企业年金</w:t>
                            </w:r>
                          </w:p>
                          <w:p w14:paraId="5484C109">
                            <w:pPr>
                              <w:pStyle w:val="23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带薪培训：新进人员有系统全面的岗前培训</w:t>
                            </w:r>
                          </w:p>
                          <w:p w14:paraId="59628FE7">
                            <w:pPr>
                              <w:pStyle w:val="23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优质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食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宿：公司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包吃包住，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宿舍（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1-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2人/间），配置热水供应、洗衣机、空调、独立卫生间、数字电视、宽带等日常设施，还有健身房、篮球场、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台球室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读书阅览区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等休闲娱乐设施</w:t>
                            </w:r>
                          </w:p>
                          <w:p w14:paraId="29255465">
                            <w:pPr>
                              <w:pStyle w:val="23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各项福利：年休假及国家规定带薪休假、就餐津贴、高温补贴、生日福利、慰问金、健康体检、员工食堂，各类培训课程等</w:t>
                            </w:r>
                          </w:p>
                          <w:p w14:paraId="1443FE4A">
                            <w:pPr>
                              <w:pStyle w:val="23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团队活动：生日会、文体活动、户外拓展、年会等</w:t>
                            </w:r>
                          </w:p>
                          <w:p w14:paraId="79B0ABB5">
                            <w:pPr>
                              <w:pStyle w:val="23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晋升通道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经营管理、项目管理、专业技术、技能通道四大晋升通道齐头并进，有着合理的人才的激励机制。</w:t>
                            </w:r>
                          </w:p>
                          <w:p w14:paraId="36BF65FD">
                            <w:pPr>
                              <w:pStyle w:val="23"/>
                              <w:spacing w:line="320" w:lineRule="exact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 w14:paraId="37368F8E">
                            <w:pPr>
                              <w:spacing w:line="320" w:lineRule="exact"/>
                              <w:rPr>
                                <w:rFonts w:hint="default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 w:val="24"/>
                                <w:szCs w:val="24"/>
                              </w:rPr>
                              <w:t>工作地点：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江西省鹰潭市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月湖区光大环保能源（鹰潭）有限公司</w:t>
                            </w:r>
                          </w:p>
                          <w:p w14:paraId="2EE655A0">
                            <w:pPr>
                              <w:spacing w:line="32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 w:val="24"/>
                                <w:szCs w:val="24"/>
                              </w:rPr>
                              <w:t>联系方式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iCs/>
                                <w:sz w:val="24"/>
                                <w:szCs w:val="24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联系人：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余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女士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联系电话：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0701-62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28296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邮箱：</w:t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HYPERLINK "mailto:yufeiyan@cebenvironment.com.cn"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Style w:val="10"/>
                                <w:rFonts w:hint="eastAsia"/>
                              </w:rPr>
                              <w:t>yufeiyan@cebenvironment.com.cn</w:t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</w:p>
                          <w:p w14:paraId="09CE7FA2">
                            <w:pPr>
                              <w:spacing w:line="320" w:lineRule="exact"/>
                              <w:rPr>
                                <w:rFonts w:hint="eastAsia"/>
                              </w:rPr>
                            </w:pPr>
                          </w:p>
                          <w:p w14:paraId="72483489">
                            <w:pPr>
                              <w:pStyle w:val="23"/>
                              <w:spacing w:line="0" w:lineRule="atLeast"/>
                              <w:ind w:firstLine="0" w:firstLineChars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="horz" wrap="square" lIns="0" tIns="0" rIns="22860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2" o:spid="_x0000_s1026" o:spt="1" style="position:absolute;left:0pt;margin-left:5.9pt;margin-top:81.35pt;height:676.25pt;width:560.6pt;mso-position-horizontal-relative:margin;mso-position-vertical-relative:margin;mso-wrap-distance-bottom:0pt;mso-wrap-distance-left:9pt;mso-wrap-distance-right:9pt;mso-wrap-distance-top:0pt;z-index:251659264;mso-width-relative:page;mso-height-relative:page;" filled="f" stroked="f" coordsize="21600,21600" o:allowincell="f" o:gfxdata="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g87JS2gAAAAwBAAAPAAAAAAAAAAEAIAAAACIAAABkcnMvZG93bnJldi54bWxQSwECFAAU&#10;AAAACACHTuJA5WWaS+8BAADEAwAADgAAAAAAAAABACAAAAApAQAAZHJzL2Uyb0RvYy54bWxQSwUG&#10;AAAAAAYABgBZAQAAigUAAAAA&#10;">
                <v:fill on="f" focussize="0,0"/>
                <v:stroke on="f"/>
                <v:imagedata o:title=""/>
                <o:lock v:ext="edit" aspectratio="f"/>
                <v:textbox inset="0mm,0mm,6.35mm,0mm">
                  <w:txbxContent>
                    <w:p w14:paraId="5C21CAD8">
                      <w:pPr>
                        <w:spacing w:line="320" w:lineRule="exact"/>
                        <w:rPr>
                          <w:rFonts w:ascii="微软雅黑" w:hAnsi="微软雅黑" w:eastAsia="微软雅黑"/>
                          <w:b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 w:val="24"/>
                          <w:szCs w:val="24"/>
                        </w:rPr>
                        <w:t>公司简介：</w:t>
                      </w:r>
                    </w:p>
                    <w:p w14:paraId="021423C2">
                      <w:pPr>
                        <w:spacing w:line="320" w:lineRule="exact"/>
                        <w:ind w:firstLine="420" w:firstLineChars="200"/>
                        <w:rPr>
                          <w:rFonts w:ascii="微软雅黑" w:hAnsi="微软雅黑" w:eastAsia="微软雅黑"/>
                          <w:iCs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Cs w:val="21"/>
                        </w:rPr>
                        <w:t>中国光大环境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Cs w:val="21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Cs w:val="21"/>
                          <w:lang w:val="en-US" w:eastAsia="zh-CN"/>
                        </w:rPr>
                        <w:t>集团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Cs w:val="21"/>
                          <w:lang w:eastAsia="zh-CN"/>
                        </w:rPr>
                        <w:t>）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Cs w:val="21"/>
                        </w:rPr>
                        <w:t>有限公司（「光大环境」），</w:t>
                      </w:r>
                      <w:r>
                        <w:rPr>
                          <w:rFonts w:hint="eastAsia" w:ascii="微软雅黑" w:hAnsi="微软雅黑" w:eastAsia="微软雅黑"/>
                          <w:iCs/>
                          <w:szCs w:val="21"/>
                        </w:rPr>
                        <w:t>1993年在香港创立，为光大集团骨干企业，香港主板上市公司（257.HK ）。央企中的外企，呈现出更高的效率与活力；外企中的央企，拥有更强的责任与实力。</w:t>
                      </w:r>
                    </w:p>
                    <w:p w14:paraId="68FC1A3C">
                      <w:pPr>
                        <w:spacing w:line="320" w:lineRule="exact"/>
                        <w:ind w:firstLine="420" w:firstLineChars="200"/>
                        <w:rPr>
                          <w:rFonts w:ascii="微软雅黑" w:hAnsi="微软雅黑" w:eastAsia="微软雅黑"/>
                          <w:iCs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iCs/>
                          <w:szCs w:val="21"/>
                        </w:rPr>
                        <w:t>公司经过十多年发展，现已成为中国乃至亚洲环保行业领军企业、世界知名生态环境集团。下辖两家上市企业：新加坡及香港上市之光大水务（U9E.SG及1857.HK ）以及香港上市之光大绿色环保（1257.HK ）。国内业务遍及</w:t>
                      </w:r>
                      <w:r>
                        <w:rPr>
                          <w:rFonts w:hint="eastAsia" w:ascii="微软雅黑" w:hAnsi="微软雅黑" w:eastAsia="微软雅黑"/>
                          <w:iCs/>
                          <w:szCs w:val="21"/>
                          <w:lang w:val="en-US" w:eastAsia="zh-CN"/>
                        </w:rPr>
                        <w:t>26</w:t>
                      </w:r>
                      <w:r>
                        <w:rPr>
                          <w:rFonts w:hint="eastAsia" w:ascii="微软雅黑" w:hAnsi="微软雅黑" w:eastAsia="微软雅黑"/>
                          <w:iCs/>
                          <w:szCs w:val="21"/>
                        </w:rPr>
                        <w:t>个省（市）；海外业务已布局德国、波兰及越南市场。</w:t>
                      </w:r>
                    </w:p>
                    <w:p w14:paraId="130950BA">
                      <w:pPr>
                        <w:spacing w:line="320" w:lineRule="exact"/>
                        <w:ind w:firstLine="412" w:firstLineChars="196"/>
                        <w:rPr>
                          <w:rFonts w:ascii="微软雅黑" w:hAnsi="微软雅黑" w:eastAsia="微软雅黑"/>
                          <w:iCs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Cs w:val="21"/>
                        </w:rPr>
                        <w:t>光大环保（中国）有限公司</w:t>
                      </w:r>
                      <w:r>
                        <w:rPr>
                          <w:rFonts w:hint="eastAsia" w:ascii="微软雅黑" w:hAnsi="微软雅黑" w:eastAsia="微软雅黑"/>
                          <w:iCs/>
                          <w:szCs w:val="21"/>
                        </w:rPr>
                        <w:t>——亚洲最大垃圾发电投资运营商。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Cs w:val="21"/>
                        </w:rPr>
                        <w:t>光大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Cs w:val="21"/>
                          <w:lang w:val="en-US" w:eastAsia="zh-CN"/>
                        </w:rPr>
                        <w:t>环境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Cs w:val="21"/>
                        </w:rPr>
                        <w:t>旗下规模最大、业务占比最高的核心业务板块</w:t>
                      </w:r>
                      <w:r>
                        <w:rPr>
                          <w:rFonts w:hint="eastAsia" w:ascii="微软雅黑" w:hAnsi="微软雅黑" w:eastAsia="微软雅黑"/>
                          <w:iCs/>
                          <w:szCs w:val="21"/>
                        </w:rPr>
                        <w:t>。业务包括：垃圾发电、 餐厨垃圾处理、渗滤液处理、飞灰处理、沼气发电、污泥处理处置、环保产业园开发等，投资项目逾150个，总投资约人民币705.94亿元，所有项目均按国际水准建设运营，旗下1</w:t>
                      </w:r>
                      <w:r>
                        <w:rPr>
                          <w:rFonts w:hint="eastAsia" w:ascii="微软雅黑" w:hAnsi="微软雅黑" w:eastAsia="微软雅黑"/>
                          <w:iCs/>
                          <w:szCs w:val="21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 w:ascii="微软雅黑" w:hAnsi="微软雅黑" w:eastAsia="微软雅黑"/>
                          <w:iCs/>
                          <w:szCs w:val="21"/>
                        </w:rPr>
                        <w:t>个项目获国家AAA级垃圾焚烧发电厂评定，是中国垃圾发电领域邻避效应化解最好的企业。</w:t>
                      </w:r>
                    </w:p>
                    <w:p w14:paraId="58C8565D">
                      <w:pPr>
                        <w:spacing w:line="320" w:lineRule="exact"/>
                        <w:ind w:firstLine="420" w:firstLineChars="200"/>
                        <w:rPr>
                          <w:rFonts w:hint="eastAsia" w:ascii="微软雅黑" w:hAnsi="微软雅黑" w:eastAsia="微软雅黑"/>
                          <w:iCs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iCs/>
                          <w:szCs w:val="21"/>
                        </w:rPr>
                        <w:t>光大环保南京区域</w:t>
                      </w:r>
                      <w:r>
                        <w:rPr>
                          <w:rFonts w:hint="eastAsia" w:ascii="微软雅黑" w:hAnsi="微软雅黑" w:eastAsia="微软雅黑"/>
                          <w:iCs/>
                          <w:szCs w:val="21"/>
                        </w:rPr>
                        <w:t>——横跨江苏、江西、安徽、湖北四省，辖属南京、镇江、高淳、邳州、沛县、泗阳、宝应、宿迁、马鞍山、丹阳、盐城、吉安、九江、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iCs/>
                          <w:color w:val="0000FF"/>
                          <w:szCs w:val="21"/>
                        </w:rPr>
                        <w:t>鹰潭</w:t>
                      </w:r>
                      <w:r>
                        <w:rPr>
                          <w:rFonts w:hint="eastAsia" w:ascii="微软雅黑" w:hAnsi="微软雅黑" w:eastAsia="微软雅黑"/>
                          <w:iCs/>
                          <w:szCs w:val="21"/>
                        </w:rPr>
                        <w:t>、孝昌、东海、修水、永新、天门</w:t>
                      </w:r>
                      <w:r>
                        <w:rPr>
                          <w:rFonts w:hint="eastAsia" w:ascii="微软雅黑" w:hAnsi="微软雅黑" w:eastAsia="微软雅黑"/>
                          <w:iCs/>
                          <w:szCs w:val="21"/>
                          <w:lang w:val="en-US" w:eastAsia="zh-CN"/>
                        </w:rPr>
                        <w:t>29</w:t>
                      </w:r>
                      <w:r>
                        <w:rPr>
                          <w:rFonts w:hint="eastAsia" w:ascii="微软雅黑" w:hAnsi="微软雅黑" w:eastAsia="微软雅黑"/>
                          <w:iCs/>
                          <w:szCs w:val="21"/>
                        </w:rPr>
                        <w:t>个垃圾焚烧发电及餐厨垃圾处理等项目。</w:t>
                      </w:r>
                    </w:p>
                    <w:p w14:paraId="39344ED4">
                      <w:pPr>
                        <w:spacing w:line="320" w:lineRule="exact"/>
                        <w:ind w:firstLine="420" w:firstLineChars="200"/>
                        <w:rPr>
                          <w:rFonts w:hint="eastAsia" w:ascii="微软雅黑" w:hAnsi="微软雅黑" w:eastAsia="微软雅黑"/>
                          <w:iCs/>
                          <w:szCs w:val="21"/>
                        </w:rPr>
                      </w:pPr>
                    </w:p>
                    <w:p w14:paraId="493A7B18">
                      <w:pPr>
                        <w:spacing w:line="320" w:lineRule="exact"/>
                        <w:rPr>
                          <w:rFonts w:ascii="微软雅黑" w:hAnsi="微软雅黑" w:eastAsia="微软雅黑"/>
                          <w:b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 w:val="24"/>
                          <w:szCs w:val="24"/>
                        </w:rPr>
                        <w:t>企业荣誉：</w:t>
                      </w:r>
                    </w:p>
                    <w:p w14:paraId="44B3E875">
                      <w:pPr>
                        <w:spacing w:line="320" w:lineRule="exact"/>
                        <w:ind w:firstLine="440" w:firstLineChars="200"/>
                        <w:rPr>
                          <w:rFonts w:ascii="微软雅黑" w:hAnsi="微软雅黑" w:eastAsia="微软雅黑" w:cs="微软雅黑"/>
                          <w:i w:val="0"/>
                          <w:iCs w:val="0"/>
                          <w:caps w:val="0"/>
                          <w:color w:val="333333"/>
                          <w:spacing w:val="0"/>
                          <w:sz w:val="22"/>
                          <w:szCs w:val="22"/>
                          <w:shd w:val="clear" w:fill="FFFFFF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i w:val="0"/>
                          <w:iCs w:val="0"/>
                          <w:caps w:val="0"/>
                          <w:color w:val="333333"/>
                          <w:spacing w:val="0"/>
                          <w:sz w:val="22"/>
                          <w:szCs w:val="22"/>
                          <w:shd w:val="clear" w:fill="FFFFFF"/>
                        </w:rPr>
                        <w:t>作为「一带一路」绿色发展国际联盟和长江经济带生态大保护的战略合作伙伴，光大环境秉承「情系生态环境，筑梦美丽中国」的使命担当，连续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iCs w:val="0"/>
                          <w:caps w:val="0"/>
                          <w:color w:val="333333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</w:rPr>
                        <w:t>14</w:t>
                      </w:r>
                      <w:r>
                        <w:rPr>
                          <w:rFonts w:ascii="微软雅黑" w:hAnsi="微软雅黑" w:eastAsia="微软雅黑" w:cs="微软雅黑"/>
                          <w:i w:val="0"/>
                          <w:iCs w:val="0"/>
                          <w:caps w:val="0"/>
                          <w:color w:val="333333"/>
                          <w:spacing w:val="0"/>
                          <w:sz w:val="22"/>
                          <w:szCs w:val="22"/>
                          <w:shd w:val="clear" w:fill="FFFFFF"/>
                        </w:rPr>
                        <w:t>年稳居「中国固废十大影响力企业」首位、连续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iCs w:val="0"/>
                          <w:caps w:val="0"/>
                          <w:color w:val="333333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</w:rPr>
                        <w:t>6</w:t>
                      </w:r>
                      <w:r>
                        <w:rPr>
                          <w:rFonts w:ascii="微软雅黑" w:hAnsi="微软雅黑" w:eastAsia="微软雅黑" w:cs="微软雅黑"/>
                          <w:i w:val="0"/>
                          <w:iCs w:val="0"/>
                          <w:caps w:val="0"/>
                          <w:color w:val="333333"/>
                          <w:spacing w:val="0"/>
                          <w:sz w:val="22"/>
                          <w:szCs w:val="22"/>
                          <w:shd w:val="clear" w:fill="FFFFFF"/>
                        </w:rPr>
                        <w:t>年蝉联中国环境企业50强榜首。与此同时，公司以「创造投资价值，承担社会责任」为企业追求，连续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iCs w:val="0"/>
                          <w:caps w:val="0"/>
                          <w:color w:val="333333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</w:rPr>
                        <w:t>9</w:t>
                      </w:r>
                      <w:r>
                        <w:rPr>
                          <w:rFonts w:ascii="微软雅黑" w:hAnsi="微软雅黑" w:eastAsia="微软雅黑" w:cs="微软雅黑"/>
                          <w:i w:val="0"/>
                          <w:iCs w:val="0"/>
                          <w:caps w:val="0"/>
                          <w:color w:val="333333"/>
                          <w:spacing w:val="0"/>
                          <w:sz w:val="22"/>
                          <w:szCs w:val="22"/>
                          <w:shd w:val="clear" w:fill="FFFFFF"/>
                        </w:rPr>
                        <w:t>年获纳入道琼斯可持续发展指数系列、连续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iCs w:val="0"/>
                          <w:caps w:val="0"/>
                          <w:color w:val="333333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</w:rPr>
                        <w:t>14</w:t>
                      </w:r>
                      <w:r>
                        <w:rPr>
                          <w:rFonts w:ascii="微软雅黑" w:hAnsi="微软雅黑" w:eastAsia="微软雅黑" w:cs="微软雅黑"/>
                          <w:i w:val="0"/>
                          <w:iCs w:val="0"/>
                          <w:caps w:val="0"/>
                          <w:color w:val="333333"/>
                          <w:spacing w:val="0"/>
                          <w:sz w:val="22"/>
                          <w:szCs w:val="22"/>
                          <w:shd w:val="clear" w:fill="FFFFFF"/>
                        </w:rPr>
                        <w:t>年获纳入恒生可持续发展企业基准指数、于2022年首次获颁香港质量保证局「实现碳中和」证书及「碳中和贡献先锋机构」嘉许、并曾多次入选标普全球《可持续发展年鉴》。</w:t>
                      </w:r>
                    </w:p>
                    <w:p w14:paraId="1FE89A55">
                      <w:pPr>
                        <w:spacing w:line="320" w:lineRule="exact"/>
                        <w:ind w:firstLine="440" w:firstLineChars="200"/>
                        <w:rPr>
                          <w:rFonts w:hint="eastAsia" w:ascii="微软雅黑" w:hAnsi="微软雅黑" w:eastAsia="微软雅黑" w:cs="微软雅黑"/>
                          <w:i w:val="0"/>
                          <w:iCs w:val="0"/>
                          <w:caps w:val="0"/>
                          <w:color w:val="333333"/>
                          <w:spacing w:val="0"/>
                          <w:sz w:val="22"/>
                          <w:szCs w:val="22"/>
                          <w:shd w:val="clear" w:fill="FFFFFF"/>
                        </w:rPr>
                      </w:pPr>
                    </w:p>
                    <w:p w14:paraId="2A8C2A38">
                      <w:pPr>
                        <w:spacing w:line="320" w:lineRule="exact"/>
                        <w:rPr>
                          <w:rFonts w:ascii="微软雅黑" w:hAnsi="微软雅黑" w:eastAsia="微软雅黑"/>
                          <w:b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 w:val="24"/>
                          <w:szCs w:val="24"/>
                        </w:rPr>
                        <w:t>岗位需求（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 w:val="24"/>
                          <w:szCs w:val="24"/>
                          <w:lang w:val="en-US" w:eastAsia="zh-CN"/>
                        </w:rPr>
                        <w:t>4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 w:val="24"/>
                          <w:szCs w:val="24"/>
                        </w:rPr>
                        <w:t>人）：</w:t>
                      </w:r>
                    </w:p>
                    <w:p w14:paraId="4A9B9795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ascii="微软雅黑" w:hAnsi="微软雅黑" w:eastAsia="微软雅黑"/>
                          <w:iCs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生产运行部（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全能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值班员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4名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）：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热能动力工程技术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专业</w:t>
                      </w:r>
                    </w:p>
                    <w:p w14:paraId="467EB73A">
                      <w:pPr>
                        <w:pStyle w:val="23"/>
                        <w:numPr>
                          <w:ilvl w:val="0"/>
                          <w:numId w:val="0"/>
                        </w:numPr>
                        <w:spacing w:line="320" w:lineRule="exact"/>
                        <w:ind w:left="420" w:leftChars="0"/>
                        <w:rPr>
                          <w:rFonts w:ascii="微软雅黑" w:hAnsi="微软雅黑" w:eastAsia="微软雅黑"/>
                          <w:iCs/>
                          <w:szCs w:val="21"/>
                        </w:rPr>
                      </w:pPr>
                    </w:p>
                    <w:p w14:paraId="69F61D01">
                      <w:pPr>
                        <w:spacing w:line="320" w:lineRule="exact"/>
                        <w:rPr>
                          <w:rFonts w:ascii="微软雅黑" w:hAnsi="微软雅黑" w:eastAsia="微软雅黑"/>
                          <w:b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 w:val="24"/>
                          <w:szCs w:val="24"/>
                        </w:rPr>
                        <w:t>员工福利:</w:t>
                      </w:r>
                    </w:p>
                    <w:p w14:paraId="5678B29E">
                      <w:pPr>
                        <w:pStyle w:val="23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六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险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二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金：五险一金（社保+住房公积金）+商业补充保险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+企业年金</w:t>
                      </w:r>
                    </w:p>
                    <w:p w14:paraId="5484C109">
                      <w:pPr>
                        <w:pStyle w:val="23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带薪培训：新进人员有系统全面的岗前培训</w:t>
                      </w:r>
                    </w:p>
                    <w:p w14:paraId="59628FE7">
                      <w:pPr>
                        <w:pStyle w:val="23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优质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食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宿：公司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包吃包住，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宿舍（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1-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2人/间），配置热水供应、洗衣机、空调、独立卫生间、数字电视、宽带等日常设施，还有健身房、篮球场、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台球室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读书阅览区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等休闲娱乐设施</w:t>
                      </w:r>
                    </w:p>
                    <w:p w14:paraId="29255465">
                      <w:pPr>
                        <w:pStyle w:val="23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各项福利：年休假及国家规定带薪休假、就餐津贴、高温补贴、生日福利、慰问金、健康体检、员工食堂，各类培训课程等</w:t>
                      </w:r>
                    </w:p>
                    <w:p w14:paraId="1443FE4A">
                      <w:pPr>
                        <w:pStyle w:val="23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团队活动：生日会、文体活动、户外拓展、年会等</w:t>
                      </w:r>
                    </w:p>
                    <w:p w14:paraId="79B0ABB5">
                      <w:pPr>
                        <w:pStyle w:val="23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晋升通道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经营管理、项目管理、专业技术、技能通道四大晋升通道齐头并进，有着合理的人才的激励机制。</w:t>
                      </w:r>
                    </w:p>
                    <w:p w14:paraId="36BF65FD">
                      <w:pPr>
                        <w:pStyle w:val="23"/>
                        <w:spacing w:line="320" w:lineRule="exact"/>
                        <w:ind w:firstLine="0" w:firstLineChars="0"/>
                        <w:rPr>
                          <w:rFonts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 w14:paraId="37368F8E">
                      <w:pPr>
                        <w:spacing w:line="320" w:lineRule="exact"/>
                        <w:rPr>
                          <w:rFonts w:hint="default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 w:val="24"/>
                          <w:szCs w:val="24"/>
                        </w:rPr>
                        <w:t>工作地点：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江西省鹰潭市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月湖区光大环保能源（鹰潭）有限公司</w:t>
                      </w:r>
                    </w:p>
                    <w:p w14:paraId="2EE655A0">
                      <w:pPr>
                        <w:spacing w:line="32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 w:val="24"/>
                          <w:szCs w:val="24"/>
                        </w:rPr>
                        <w:t>联系方式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iCs/>
                          <w:sz w:val="24"/>
                          <w:szCs w:val="24"/>
                          <w:lang w:eastAsia="zh-CN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联系人：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余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女士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联系电话：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0701-62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28296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邮箱：</w:t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HYPERLINK "mailto:yufeiyan@cebenvironment.com.cn"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Style w:val="10"/>
                          <w:rFonts w:hint="eastAsia"/>
                        </w:rPr>
                        <w:t>yufeiyan@cebenvironment.com.cn</w:t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</w:p>
                    <w:p w14:paraId="09CE7FA2">
                      <w:pPr>
                        <w:spacing w:line="320" w:lineRule="exact"/>
                        <w:rPr>
                          <w:rFonts w:hint="eastAsia"/>
                        </w:rPr>
                      </w:pPr>
                    </w:p>
                    <w:p w14:paraId="72483489">
                      <w:pPr>
                        <w:pStyle w:val="23"/>
                        <w:spacing w:line="0" w:lineRule="atLeast"/>
                        <w:ind w:firstLine="0" w:firstLineChars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仿宋" w:hAnsi="仿宋" w:eastAsia="仿宋" w:cs="宋体"/>
          <w:b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913765</wp:posOffset>
                </wp:positionV>
                <wp:extent cx="6878320" cy="0"/>
                <wp:effectExtent l="0" t="0" r="0" b="0"/>
                <wp:wrapNone/>
                <wp:docPr id="8" name="自选图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8320" cy="0"/>
                        </a:xfrm>
                        <a:prstGeom prst="straightConnector1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5" o:spid="_x0000_s1026" o:spt="32" type="#_x0000_t32" style="position:absolute;left:0pt;margin-left:5.4pt;margin-top:71.95pt;height:0pt;width:541.6pt;z-index:251660288;mso-width-relative:page;mso-height-relative:page;" filled="f" stroked="t" coordsize="21600,21600" o:gfxdata="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nfZgJ1gAAAAsBAAAPAAAAAAAAAAEAIAAAACIAAABkcnMvZG93bnJldi54bWxQSwEC&#10;FAAUAAAACACHTuJACRBOtvYBAADlAwAADgAAAAAAAAABACAAAAAlAQAAZHJzL2Uyb0RvYy54bWxQ&#10;SwUGAAAAAAYABgBZAQAAjQUAAAAA&#10;">
                <v:fill on="f" focussize="0,0"/>
                <v:stroke weight="2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宋体"/>
          <w:bCs/>
          <w:lang w:bidi="en-US"/>
        </w:rPr>
        <w:t xml:space="preserve">   </w:t>
      </w:r>
      <w:r>
        <w:rPr>
          <w:rFonts w:hint="eastAsia" w:ascii="仿宋" w:hAnsi="仿宋" w:eastAsia="仿宋" w:cs="宋体"/>
          <w:bCs/>
          <w:lang w:val="en-US" w:eastAsia="zh-CN" w:bidi="en-US"/>
        </w:rPr>
        <w:t xml:space="preserve"> </w:t>
      </w:r>
      <w:r>
        <w:rPr>
          <w:rFonts w:hint="eastAsia" w:ascii="仿宋" w:hAnsi="仿宋" w:eastAsia="仿宋" w:cs="宋体"/>
          <w:bCs/>
          <w:lang w:bidi="en-US"/>
        </w:rPr>
        <w:t xml:space="preserve">  </w:t>
      </w:r>
      <w:r>
        <w:rPr>
          <w:rFonts w:hint="eastAsia" w:ascii="仿宋" w:hAnsi="仿宋" w:eastAsia="仿宋" w:cs="宋体"/>
          <w:bCs/>
          <w:lang w:val="en-US" w:eastAsia="zh-CN" w:bidi="en-US"/>
        </w:rPr>
        <w:t xml:space="preserve">     </w:t>
      </w:r>
      <w:r>
        <w:rPr>
          <w:rFonts w:hint="eastAsia" w:ascii="仿宋" w:hAnsi="仿宋" w:eastAsia="仿宋" w:cs="宋体"/>
          <w:b/>
          <w:sz w:val="52"/>
          <w:szCs w:val="52"/>
          <w:lang w:bidi="en-US"/>
        </w:rPr>
        <w:t>招聘简章</w:t>
      </w:r>
    </w:p>
    <w:sectPr>
      <w:pgSz w:w="11906" w:h="16838"/>
      <w:pgMar w:top="340" w:right="340" w:bottom="340" w:left="3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HeiHKS-Light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HeiHKS-Xbold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Avenir LT Std 35 Light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寰蒋闆呴粦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0E13F2"/>
    <w:multiLevelType w:val="multilevel"/>
    <w:tmpl w:val="100E13F2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VlN2Q2MTUwMDZiMzBiMGUxZDI5ZDRlY2JlMjdiODIifQ=="/>
  </w:docVars>
  <w:rsids>
    <w:rsidRoot w:val="00493FA5"/>
    <w:rsid w:val="000114D7"/>
    <w:rsid w:val="000B1767"/>
    <w:rsid w:val="001C5FD0"/>
    <w:rsid w:val="001D6E52"/>
    <w:rsid w:val="00207A69"/>
    <w:rsid w:val="00236E89"/>
    <w:rsid w:val="002E0B60"/>
    <w:rsid w:val="00385600"/>
    <w:rsid w:val="003B6039"/>
    <w:rsid w:val="00493FA5"/>
    <w:rsid w:val="004F3683"/>
    <w:rsid w:val="005E2310"/>
    <w:rsid w:val="00677C52"/>
    <w:rsid w:val="007D39A4"/>
    <w:rsid w:val="00801DA2"/>
    <w:rsid w:val="00895E61"/>
    <w:rsid w:val="009358A5"/>
    <w:rsid w:val="00963C89"/>
    <w:rsid w:val="00982C0A"/>
    <w:rsid w:val="00A11D74"/>
    <w:rsid w:val="00A5078D"/>
    <w:rsid w:val="00B47CC1"/>
    <w:rsid w:val="00BB750C"/>
    <w:rsid w:val="00BD2B76"/>
    <w:rsid w:val="00C95E60"/>
    <w:rsid w:val="00CD1067"/>
    <w:rsid w:val="00D145B9"/>
    <w:rsid w:val="00D64A81"/>
    <w:rsid w:val="00DB3453"/>
    <w:rsid w:val="00EB01CE"/>
    <w:rsid w:val="00ED22F5"/>
    <w:rsid w:val="00ED439D"/>
    <w:rsid w:val="00F1013A"/>
    <w:rsid w:val="00FC2A38"/>
    <w:rsid w:val="00FC69E3"/>
    <w:rsid w:val="03DC6D5B"/>
    <w:rsid w:val="042C36E0"/>
    <w:rsid w:val="05485778"/>
    <w:rsid w:val="05AF293F"/>
    <w:rsid w:val="06A4186D"/>
    <w:rsid w:val="08A86A2B"/>
    <w:rsid w:val="09D65023"/>
    <w:rsid w:val="0A7113D6"/>
    <w:rsid w:val="0B217EE9"/>
    <w:rsid w:val="0B87335A"/>
    <w:rsid w:val="0CE76F2A"/>
    <w:rsid w:val="0F6F240F"/>
    <w:rsid w:val="116F1233"/>
    <w:rsid w:val="11A368D7"/>
    <w:rsid w:val="13081FD1"/>
    <w:rsid w:val="136A7AC0"/>
    <w:rsid w:val="14D02E7C"/>
    <w:rsid w:val="1740656F"/>
    <w:rsid w:val="19CA6717"/>
    <w:rsid w:val="19D00AFD"/>
    <w:rsid w:val="19DA487F"/>
    <w:rsid w:val="19EF616F"/>
    <w:rsid w:val="1B55264D"/>
    <w:rsid w:val="1B603C79"/>
    <w:rsid w:val="1BC565DE"/>
    <w:rsid w:val="1CE61F3C"/>
    <w:rsid w:val="1DAC2C1C"/>
    <w:rsid w:val="21812338"/>
    <w:rsid w:val="224507D6"/>
    <w:rsid w:val="22EA7B20"/>
    <w:rsid w:val="23463543"/>
    <w:rsid w:val="240D618A"/>
    <w:rsid w:val="2644325C"/>
    <w:rsid w:val="272B17FD"/>
    <w:rsid w:val="27617D89"/>
    <w:rsid w:val="28DE3C83"/>
    <w:rsid w:val="29466F83"/>
    <w:rsid w:val="29E57612"/>
    <w:rsid w:val="2AF35560"/>
    <w:rsid w:val="2BE73FC0"/>
    <w:rsid w:val="2EB6727F"/>
    <w:rsid w:val="305B02AF"/>
    <w:rsid w:val="31E93E2B"/>
    <w:rsid w:val="330474B5"/>
    <w:rsid w:val="338A5FC1"/>
    <w:rsid w:val="33CB752E"/>
    <w:rsid w:val="348203CC"/>
    <w:rsid w:val="34D021B5"/>
    <w:rsid w:val="35A135E2"/>
    <w:rsid w:val="35CE3B6B"/>
    <w:rsid w:val="36AD2EE7"/>
    <w:rsid w:val="37841E99"/>
    <w:rsid w:val="38231B9B"/>
    <w:rsid w:val="3A1D2887"/>
    <w:rsid w:val="3A201C14"/>
    <w:rsid w:val="3C7F78FD"/>
    <w:rsid w:val="3E5D5CD8"/>
    <w:rsid w:val="4050500F"/>
    <w:rsid w:val="40DA618D"/>
    <w:rsid w:val="430452D5"/>
    <w:rsid w:val="43B951E8"/>
    <w:rsid w:val="43F65ECD"/>
    <w:rsid w:val="442740BC"/>
    <w:rsid w:val="447B00E9"/>
    <w:rsid w:val="45DE5848"/>
    <w:rsid w:val="462F3E64"/>
    <w:rsid w:val="46523E6B"/>
    <w:rsid w:val="47CF0F0F"/>
    <w:rsid w:val="4828294B"/>
    <w:rsid w:val="483F0230"/>
    <w:rsid w:val="48F12BB7"/>
    <w:rsid w:val="4D0226A1"/>
    <w:rsid w:val="4DF7451E"/>
    <w:rsid w:val="520B02AC"/>
    <w:rsid w:val="528240D9"/>
    <w:rsid w:val="53C64377"/>
    <w:rsid w:val="558D18DE"/>
    <w:rsid w:val="55DC0058"/>
    <w:rsid w:val="55F93315"/>
    <w:rsid w:val="573771DD"/>
    <w:rsid w:val="58F46419"/>
    <w:rsid w:val="59436BFC"/>
    <w:rsid w:val="5C651EB1"/>
    <w:rsid w:val="5CCC3B56"/>
    <w:rsid w:val="5D06152E"/>
    <w:rsid w:val="5D294D8B"/>
    <w:rsid w:val="5D5E0913"/>
    <w:rsid w:val="5DE91857"/>
    <w:rsid w:val="5EA736E3"/>
    <w:rsid w:val="5FBB1CB8"/>
    <w:rsid w:val="6066704F"/>
    <w:rsid w:val="6109328C"/>
    <w:rsid w:val="61B21969"/>
    <w:rsid w:val="61C3292C"/>
    <w:rsid w:val="62375306"/>
    <w:rsid w:val="629F37BB"/>
    <w:rsid w:val="64322C07"/>
    <w:rsid w:val="65332685"/>
    <w:rsid w:val="671608D8"/>
    <w:rsid w:val="67D463BC"/>
    <w:rsid w:val="6ABD1D28"/>
    <w:rsid w:val="6B4C67A1"/>
    <w:rsid w:val="6BA51A17"/>
    <w:rsid w:val="6E8009D2"/>
    <w:rsid w:val="6EBC36EB"/>
    <w:rsid w:val="6F987691"/>
    <w:rsid w:val="72326E4C"/>
    <w:rsid w:val="724B38AE"/>
    <w:rsid w:val="72687402"/>
    <w:rsid w:val="7675054E"/>
    <w:rsid w:val="76FC11CD"/>
    <w:rsid w:val="775533DC"/>
    <w:rsid w:val="788C79A8"/>
    <w:rsid w:val="7A0647DC"/>
    <w:rsid w:val="7ABE7D1A"/>
    <w:rsid w:val="7B7A6E08"/>
    <w:rsid w:val="7BE44282"/>
    <w:rsid w:val="7BEA5B2A"/>
    <w:rsid w:val="7D2F248E"/>
    <w:rsid w:val="7D326892"/>
    <w:rsid w:val="7DC1592D"/>
    <w:rsid w:val="7ECE4B93"/>
    <w:rsid w:val="7F08297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20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4">
    <w:name w:val="Balloon Text"/>
    <w:basedOn w:val="1"/>
    <w:link w:val="26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6"/>
    <w:autoRedefine/>
    <w:semiHidden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autoRedefine/>
    <w:semiHidden/>
    <w:qFormat/>
    <w:uiPriority w:val="99"/>
    <w:rPr>
      <w:sz w:val="18"/>
      <w:szCs w:val="18"/>
    </w:rPr>
  </w:style>
  <w:style w:type="paragraph" w:customStyle="1" w:styleId="13">
    <w:name w:val="Pa1+1"/>
    <w:basedOn w:val="1"/>
    <w:next w:val="1"/>
    <w:autoRedefine/>
    <w:qFormat/>
    <w:uiPriority w:val="99"/>
    <w:pPr>
      <w:autoSpaceDE w:val="0"/>
      <w:autoSpaceDN w:val="0"/>
      <w:adjustRightInd w:val="0"/>
      <w:spacing w:line="201" w:lineRule="atLeast"/>
      <w:jc w:val="left"/>
    </w:pPr>
    <w:rPr>
      <w:rFonts w:ascii="MHeiHKS-Light" w:eastAsia="MHeiHKS-Light"/>
      <w:kern w:val="0"/>
      <w:sz w:val="24"/>
      <w:szCs w:val="24"/>
    </w:rPr>
  </w:style>
  <w:style w:type="paragraph" w:customStyle="1" w:styleId="14">
    <w:name w:val="Pa4"/>
    <w:basedOn w:val="1"/>
    <w:next w:val="1"/>
    <w:autoRedefine/>
    <w:qFormat/>
    <w:uiPriority w:val="99"/>
    <w:pPr>
      <w:autoSpaceDE w:val="0"/>
      <w:autoSpaceDN w:val="0"/>
      <w:adjustRightInd w:val="0"/>
      <w:spacing w:line="141" w:lineRule="atLeast"/>
      <w:jc w:val="left"/>
    </w:pPr>
    <w:rPr>
      <w:rFonts w:ascii="MHeiHKS-Xbold" w:eastAsia="MHeiHKS-Xbold"/>
      <w:kern w:val="0"/>
      <w:sz w:val="24"/>
      <w:szCs w:val="24"/>
    </w:rPr>
  </w:style>
  <w:style w:type="paragraph" w:customStyle="1" w:styleId="15">
    <w:name w:val="Pa6+1"/>
    <w:basedOn w:val="1"/>
    <w:next w:val="1"/>
    <w:autoRedefine/>
    <w:qFormat/>
    <w:uiPriority w:val="99"/>
    <w:pPr>
      <w:autoSpaceDE w:val="0"/>
      <w:autoSpaceDN w:val="0"/>
      <w:adjustRightInd w:val="0"/>
      <w:spacing w:line="201" w:lineRule="atLeast"/>
      <w:jc w:val="left"/>
    </w:pPr>
    <w:rPr>
      <w:rFonts w:ascii="MHeiHKS-Light" w:eastAsia="MHeiHKS-Light"/>
      <w:kern w:val="0"/>
      <w:sz w:val="24"/>
      <w:szCs w:val="24"/>
    </w:rPr>
  </w:style>
  <w:style w:type="paragraph" w:customStyle="1" w:styleId="16">
    <w:name w:val="Pa5+1"/>
    <w:basedOn w:val="1"/>
    <w:next w:val="1"/>
    <w:autoRedefine/>
    <w:qFormat/>
    <w:uiPriority w:val="99"/>
    <w:pPr>
      <w:autoSpaceDE w:val="0"/>
      <w:autoSpaceDN w:val="0"/>
      <w:adjustRightInd w:val="0"/>
      <w:spacing w:line="201" w:lineRule="atLeast"/>
      <w:jc w:val="left"/>
    </w:pPr>
    <w:rPr>
      <w:rFonts w:ascii="MHeiHKS-Light" w:eastAsia="MHeiHKS-Light"/>
      <w:kern w:val="0"/>
      <w:sz w:val="24"/>
      <w:szCs w:val="24"/>
    </w:rPr>
  </w:style>
  <w:style w:type="character" w:customStyle="1" w:styleId="17">
    <w:name w:val="A5+1"/>
    <w:autoRedefine/>
    <w:qFormat/>
    <w:uiPriority w:val="99"/>
    <w:rPr>
      <w:rFonts w:cs="MHeiHKS-Light"/>
      <w:b/>
      <w:bCs/>
      <w:color w:val="221E1F"/>
    </w:rPr>
  </w:style>
  <w:style w:type="paragraph" w:customStyle="1" w:styleId="1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Avenir LT Std 35 Light" w:eastAsia="Avenir LT Std 35 Light" w:cs="Avenir LT Std 35 Light" w:hAnsiTheme="minorHAnsi"/>
      <w:color w:val="000000"/>
      <w:sz w:val="24"/>
      <w:szCs w:val="24"/>
      <w:lang w:val="en-US" w:eastAsia="zh-CN" w:bidi="ar-SA"/>
    </w:rPr>
  </w:style>
  <w:style w:type="paragraph" w:customStyle="1" w:styleId="19">
    <w:name w:val="Char"/>
    <w:basedOn w:val="3"/>
    <w:autoRedefine/>
    <w:qFormat/>
    <w:uiPriority w:val="0"/>
    <w:pPr>
      <w:shd w:val="clear" w:color="auto" w:fill="000080"/>
    </w:pPr>
    <w:rPr>
      <w:rFonts w:ascii="Tahoma" w:hAnsi="Tahoma" w:cs="Times New Roman"/>
      <w:sz w:val="24"/>
      <w:szCs w:val="24"/>
    </w:rPr>
  </w:style>
  <w:style w:type="character" w:customStyle="1" w:styleId="20">
    <w:name w:val="文档结构图 字符"/>
    <w:basedOn w:val="9"/>
    <w:link w:val="3"/>
    <w:autoRedefine/>
    <w:semiHidden/>
    <w:qFormat/>
    <w:uiPriority w:val="99"/>
    <w:rPr>
      <w:rFonts w:ascii="宋体" w:eastAsia="宋体"/>
      <w:sz w:val="18"/>
      <w:szCs w:val="18"/>
    </w:rPr>
  </w:style>
  <w:style w:type="paragraph" w:styleId="21">
    <w:name w:val="No Spacing"/>
    <w:link w:val="22"/>
    <w:autoRedefine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22">
    <w:name w:val="无间隔 字符"/>
    <w:basedOn w:val="9"/>
    <w:link w:val="21"/>
    <w:autoRedefine/>
    <w:qFormat/>
    <w:uiPriority w:val="1"/>
    <w:rPr>
      <w:kern w:val="0"/>
      <w:sz w:val="22"/>
    </w:rPr>
  </w:style>
  <w:style w:type="paragraph" w:styleId="2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4">
    <w:name w:val="标题 1 字符"/>
    <w:basedOn w:val="9"/>
    <w:link w:val="2"/>
    <w:autoRedefine/>
    <w:qFormat/>
    <w:uiPriority w:val="9"/>
    <w:rPr>
      <w:b/>
      <w:bCs/>
      <w:kern w:val="44"/>
      <w:sz w:val="44"/>
      <w:szCs w:val="44"/>
    </w:rPr>
  </w:style>
  <w:style w:type="paragraph" w:customStyle="1" w:styleId="25">
    <w:name w:val="TOC 标题1"/>
    <w:basedOn w:val="2"/>
    <w:next w:val="1"/>
    <w:autoRedefine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character" w:customStyle="1" w:styleId="26">
    <w:name w:val="批注框文本 字符"/>
    <w:basedOn w:val="9"/>
    <w:link w:val="4"/>
    <w:autoRedefine/>
    <w:semiHidden/>
    <w:qFormat/>
    <w:uiPriority w:val="99"/>
    <w:rPr>
      <w:sz w:val="18"/>
      <w:szCs w:val="18"/>
    </w:rPr>
  </w:style>
  <w:style w:type="character" w:customStyle="1" w:styleId="27">
    <w:name w:val="Unresolved Mention"/>
    <w:basedOn w:val="9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4AC9ED-EF91-4EF1-B1C4-972E21AB70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</Words>
  <Characters>4</Characters>
  <Lines>1</Lines>
  <Paragraphs>1</Paragraphs>
  <TotalTime>64</TotalTime>
  <ScaleCrop>false</ScaleCrop>
  <LinksUpToDate>false</LinksUpToDate>
  <CharactersWithSpaces>15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2021-12-06T04:01:00Z</dcterms:created>
  <dc:creator>王建敏</dc:creator>
  <cp:lastModifiedBy>飞翔的飞 燕子的燕</cp:lastModifiedBy>
  <cp:lastPrinted>2022-09-29T10:27:00Z</cp:lastPrinted>
  <dcterms:modified xsi:type="dcterms:W3CDTF">2025-12-15T01:39:00Z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B10E567A2C1145E7B7095BD07A5AF411_13</vt:lpwstr>
  </property>
  <property fmtid="{D5CDD505-2E9C-101B-9397-08002B2CF9AE}" pid="4" name="KSOTemplateDocerSaveRecord">
    <vt:lpwstr>eyJoZGlkIjoiZjRlZTI4YWJhNDNmM2NjYWViNWY0NzM3MTI0NTc5ZDkiLCJ1c2VySWQiOiI1MjYzMDU0OTMifQ==</vt:lpwstr>
  </property>
</Properties>
</file>