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center"/>
        <w:rPr>
          <w:rFonts w:eastAsia="黑体" w:cs="黑体" w:asciiTheme="majorHAnsi" w:hAnsiTheme="majorHAnsi"/>
          <w:sz w:val="44"/>
          <w:szCs w:val="44"/>
        </w:rPr>
      </w:pPr>
      <w:r>
        <w:rPr>
          <w:rFonts w:hint="eastAsia" w:eastAsia="黑体" w:cs="黑体" w:asciiTheme="majorHAnsi" w:hAnsiTheme="majorHAnsi"/>
          <w:sz w:val="44"/>
          <w:szCs w:val="44"/>
        </w:rPr>
        <w:t>江西省</w:t>
      </w:r>
      <w:r>
        <w:rPr>
          <w:rFonts w:eastAsia="黑体" w:cs="黑体" w:asciiTheme="majorHAnsi" w:hAnsiTheme="majorHAnsi"/>
          <w:sz w:val="44"/>
          <w:szCs w:val="44"/>
        </w:rPr>
        <w:t>华赣环境集团</w:t>
      </w:r>
      <w:r>
        <w:rPr>
          <w:rFonts w:hint="eastAsia" w:eastAsia="黑体" w:cs="黑体" w:asciiTheme="majorHAnsi" w:hAnsiTheme="majorHAnsi"/>
          <w:sz w:val="44"/>
          <w:szCs w:val="44"/>
        </w:rPr>
        <w:t>有限公司</w:t>
      </w:r>
    </w:p>
    <w:p>
      <w:pPr>
        <w:spacing w:after="156" w:afterLines="50"/>
        <w:jc w:val="center"/>
        <w:rPr>
          <w:rFonts w:hint="eastAsia" w:eastAsia="黑体" w:cs="黑体" w:asciiTheme="majorHAnsi" w:hAnsiTheme="majorHAnsi"/>
          <w:sz w:val="44"/>
          <w:szCs w:val="44"/>
          <w:lang w:val="en-US" w:eastAsia="zh-CN"/>
        </w:rPr>
      </w:pPr>
      <w:r>
        <w:rPr>
          <w:rFonts w:eastAsia="黑体" w:cs="黑体" w:asciiTheme="majorHAnsi" w:hAnsiTheme="majorHAnsi"/>
          <w:sz w:val="44"/>
          <w:szCs w:val="44"/>
        </w:rPr>
        <w:t>清洁发电事业部</w:t>
      </w:r>
      <w:r>
        <w:rPr>
          <w:rFonts w:hint="eastAsia" w:eastAsia="黑体" w:cs="黑体" w:asciiTheme="majorHAnsi" w:hAnsiTheme="majorHAnsi"/>
          <w:sz w:val="44"/>
          <w:szCs w:val="44"/>
          <w:lang w:val="en-US" w:eastAsia="zh-CN"/>
        </w:rPr>
        <w:t>招聘简章</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江西省华赣环境集团有限公司清洁发电事业部（简称华赣环境发电事业部）</w:t>
      </w:r>
      <w:r>
        <w:rPr>
          <w:rFonts w:hint="eastAsia" w:ascii="仿宋_GB2312" w:hAnsi="仿宋_GB2312" w:eastAsia="仿宋_GB2312" w:cs="仿宋_GB2312"/>
          <w:sz w:val="32"/>
          <w:szCs w:val="32"/>
        </w:rPr>
        <w:t>是经江西省投资集团批准，由江西省华赣环境集团有限公司于2022年5月8日组建成立的第一个事业部，由于都县、兴国县、崇义县等三个生活垃圾焚烧发电项目组成，总投资达到</w:t>
      </w:r>
      <w:r>
        <w:rPr>
          <w:rFonts w:hint="default" w:ascii="仿宋_GB2312" w:hAnsi="仿宋_GB2312" w:eastAsia="仿宋_GB2312" w:cs="仿宋_GB2312"/>
          <w:sz w:val="32"/>
          <w:szCs w:val="32"/>
          <w:lang w:val="en-US"/>
        </w:rPr>
        <w:t>12.19</w:t>
      </w:r>
      <w:r>
        <w:rPr>
          <w:rFonts w:hint="eastAsia" w:ascii="仿宋_GB2312" w:hAnsi="仿宋_GB2312" w:eastAsia="仿宋_GB2312" w:cs="仿宋_GB2312"/>
          <w:sz w:val="32"/>
          <w:szCs w:val="32"/>
          <w:lang w:val="en-US" w:eastAsia="zh-CN"/>
        </w:rPr>
        <w:t>亿</w:t>
      </w:r>
      <w:r>
        <w:rPr>
          <w:rFonts w:hint="eastAsia" w:ascii="仿宋_GB2312" w:hAnsi="仿宋_GB2312" w:eastAsia="仿宋_GB2312" w:cs="仿宋_GB2312"/>
          <w:sz w:val="32"/>
          <w:szCs w:val="32"/>
        </w:rPr>
        <w:t>元，服务区域覆盖5个县（区），服务人口293.57万人，</w:t>
      </w:r>
      <w:r>
        <w:rPr>
          <w:rFonts w:hint="eastAsia" w:ascii="仿宋_GB2312" w:hAnsi="仿宋_GB2312" w:eastAsia="仿宋_GB2312" w:cs="仿宋_GB2312"/>
          <w:color w:val="000000" w:themeColor="text1"/>
          <w:sz w:val="32"/>
          <w:szCs w:val="32"/>
          <w14:textFill>
            <w14:solidFill>
              <w14:schemeClr w14:val="tx1"/>
            </w14:solidFill>
          </w14:textFill>
        </w:rPr>
        <w:t>每年可处理生活垃圾64.94万吨，年平均发电量约2.2亿千瓦时，可供约46万居民一年生活用电。目前，</w:t>
      </w:r>
      <w:r>
        <w:rPr>
          <w:rFonts w:hint="eastAsia" w:ascii="仿宋_GB2312" w:hAnsi="仿宋_GB2312" w:eastAsia="仿宋_GB2312" w:cs="仿宋_GB2312"/>
          <w:sz w:val="32"/>
          <w:szCs w:val="32"/>
        </w:rPr>
        <w:t>华赣环境发电事业部员工近160人，其中管理及专业技术团队占比超30%，大专学历以上人员占比</w:t>
      </w:r>
      <w:r>
        <w:rPr>
          <w:rFonts w:ascii="仿宋_GB2312" w:hAnsi="仿宋_GB2312" w:eastAsia="仿宋_GB2312" w:cs="仿宋_GB2312"/>
          <w:sz w:val="32"/>
          <w:szCs w:val="32"/>
        </w:rPr>
        <w:t>85%</w:t>
      </w:r>
      <w:r>
        <w:rPr>
          <w:rFonts w:hint="eastAsia" w:ascii="仿宋_GB2312" w:hAnsi="仿宋_GB2312" w:eastAsia="仿宋_GB2312" w:cs="仿宋_GB2312"/>
          <w:sz w:val="32"/>
          <w:szCs w:val="32"/>
        </w:rPr>
        <w:t>以上。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华赣环境发电事业部以投资、建设、运营生活焚烧发电项目为主要业务。</w:t>
      </w:r>
      <w:r>
        <w:rPr>
          <w:rFonts w:hint="eastAsia" w:ascii="仿宋_GB2312" w:hAnsi="仿宋_GB2312" w:eastAsia="仿宋_GB2312" w:cs="仿宋_GB2312"/>
          <w:sz w:val="32"/>
          <w:szCs w:val="32"/>
        </w:rPr>
        <w:t>自成立以来，在华</w:t>
      </w:r>
      <w:r>
        <w:rPr>
          <w:rFonts w:ascii="仿宋_GB2312" w:hAnsi="仿宋_GB2312" w:eastAsia="仿宋_GB2312" w:cs="仿宋_GB2312"/>
          <w:sz w:val="32"/>
          <w:szCs w:val="32"/>
        </w:rPr>
        <w:t>赣环境</w:t>
      </w:r>
      <w:r>
        <w:rPr>
          <w:rFonts w:hint="eastAsia" w:ascii="仿宋_GB2312" w:hAnsi="仿宋_GB2312" w:eastAsia="仿宋_GB2312" w:cs="仿宋_GB2312"/>
          <w:sz w:val="32"/>
          <w:szCs w:val="32"/>
        </w:rPr>
        <w:t>集团的科学统领下，通过对运行模式、管理制度、生产技术、人才培养等方面不断探索与创新，实现</w:t>
      </w:r>
      <w:r>
        <w:rPr>
          <w:rFonts w:ascii="仿宋_GB2312" w:hAnsi="仿宋_GB2312" w:eastAsia="仿宋_GB2312" w:cs="仿宋_GB2312"/>
          <w:sz w:val="32"/>
          <w:szCs w:val="32"/>
        </w:rPr>
        <w:t>了各项目之间、生产运营</w:t>
      </w:r>
      <w:r>
        <w:rPr>
          <w:rFonts w:hint="eastAsia" w:ascii="仿宋_GB2312" w:hAnsi="仿宋_GB2312" w:eastAsia="仿宋_GB2312" w:cs="仿宋_GB2312"/>
          <w:sz w:val="32"/>
          <w:szCs w:val="32"/>
        </w:rPr>
        <w:t>各环节之间的协同效应，有效降低项目投资成本、加快建设速度、提高运营效率、促进技术创新。华赣环境发电事业部</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color w:val="000000" w:themeColor="text1"/>
          <w:sz w:val="32"/>
          <w:szCs w:val="32"/>
          <w14:textFill>
            <w14:solidFill>
              <w14:schemeClr w14:val="tx1"/>
            </w14:solidFill>
          </w14:textFill>
        </w:rPr>
        <w:t>系统集成的全产业链经验，依托强大的技术团队，规模化集中网络采购平台以及集团长期的投融资、项目运作经验，逐步发展成为全省一流的生活焚烧发电项目综合解决方案供应商。目前已投建项目</w:t>
      </w:r>
      <w:r>
        <w:rPr>
          <w:rFonts w:hint="eastAsia" w:ascii="仿宋_GB2312" w:hAnsi="仿宋_GB2312" w:eastAsia="仿宋_GB2312" w:cs="仿宋_GB2312"/>
          <w:sz w:val="32"/>
          <w:szCs w:val="32"/>
        </w:rPr>
        <w:t>占江西省内国有环保企业投建总数的3/5，其中于都县生活垃圾焚烧发电项目为江西省省级生态环保投资运营平台投建的第一个生活垃圾发电项目。</w:t>
      </w:r>
    </w:p>
    <w:p>
      <w:pPr>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 w:hAnsi="仿宋" w:eastAsia="仿宋" w:cs="仿宋"/>
          <w:sz w:val="32"/>
          <w:szCs w:val="32"/>
          <w:highlight w:val="none"/>
          <w:shd w:val="clear" w:color="auto" w:fill="FFFFFF"/>
        </w:rPr>
        <w:t>围绕</w:t>
      </w:r>
      <w:r>
        <w:rPr>
          <w:rFonts w:hint="eastAsia" w:ascii="仿宋_GB2312" w:hAnsi="仿宋_GB2312" w:eastAsia="仿宋_GB2312" w:cs="仿宋_GB2312"/>
          <w:color w:val="000000" w:themeColor="text1"/>
          <w:sz w:val="32"/>
          <w:szCs w:val="32"/>
          <w:highlight w:val="none"/>
          <w14:textFill>
            <w14:solidFill>
              <w14:schemeClr w14:val="tx1"/>
            </w14:solidFill>
          </w14:textFill>
        </w:rPr>
        <w:t>推动江西省乃至全国可再生能源可持续规模化发展和煤电安全转型战略</w:t>
      </w:r>
      <w:r>
        <w:rPr>
          <w:rFonts w:ascii="仿宋_GB2312" w:hAnsi="仿宋_GB2312" w:eastAsia="仿宋_GB2312" w:cs="仿宋_GB2312"/>
          <w:color w:val="000000" w:themeColor="text1"/>
          <w:sz w:val="32"/>
          <w:szCs w:val="32"/>
          <w:highlight w:val="none"/>
          <w14:textFill>
            <w14:solidFill>
              <w14:schemeClr w14:val="tx1"/>
            </w14:solidFill>
          </w14:textFill>
        </w:rPr>
        <w:t>目标</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sz w:val="32"/>
          <w:szCs w:val="32"/>
          <w:highlight w:val="none"/>
        </w:rPr>
        <w:t>按照华</w:t>
      </w:r>
      <w:r>
        <w:rPr>
          <w:rFonts w:ascii="仿宋_GB2312" w:hAnsi="仿宋_GB2312" w:eastAsia="仿宋_GB2312" w:cs="仿宋_GB2312"/>
          <w:sz w:val="32"/>
          <w:szCs w:val="32"/>
          <w:highlight w:val="none"/>
        </w:rPr>
        <w:t>赣环境</w:t>
      </w:r>
      <w:r>
        <w:rPr>
          <w:rFonts w:hint="eastAsia" w:ascii="仿宋_GB2312" w:hAnsi="仿宋_GB2312" w:eastAsia="仿宋_GB2312" w:cs="仿宋_GB2312"/>
          <w:sz w:val="32"/>
          <w:szCs w:val="32"/>
          <w:highlight w:val="none"/>
        </w:rPr>
        <w:t>集团“</w:t>
      </w:r>
      <w:r>
        <w:rPr>
          <w:rFonts w:hint="eastAsia" w:ascii="仿宋" w:hAnsi="仿宋" w:eastAsia="仿宋" w:cs="仿宋"/>
          <w:sz w:val="32"/>
          <w:szCs w:val="32"/>
          <w:highlight w:val="none"/>
          <w:shd w:val="clear" w:color="auto" w:fill="FFFFFF"/>
        </w:rPr>
        <w:t>十四五”发展规划，</w:t>
      </w:r>
      <w:r>
        <w:rPr>
          <w:rFonts w:hint="eastAsia" w:ascii="仿宋_GB2312" w:hAnsi="仿宋_GB2312" w:eastAsia="仿宋_GB2312" w:cs="仿宋_GB2312"/>
          <w:color w:val="000000" w:themeColor="text1"/>
          <w:sz w:val="32"/>
          <w:szCs w:val="32"/>
          <w:highlight w:val="none"/>
          <w14:textFill>
            <w14:solidFill>
              <w14:schemeClr w14:val="tx1"/>
            </w14:solidFill>
          </w14:textFill>
        </w:rPr>
        <w:t>华赣环境集团发电事业部聚焦可再生能源规模化健康发展和生活垃圾焚烧发电技术创新，</w:t>
      </w:r>
      <w:r>
        <w:rPr>
          <w:rFonts w:hint="eastAsia" w:ascii="仿宋_GB2312" w:hAnsi="仿宋_GB2312" w:eastAsia="仿宋_GB2312" w:cs="仿宋_GB2312"/>
          <w:sz w:val="32"/>
          <w:szCs w:val="32"/>
          <w:highlight w:val="none"/>
        </w:rPr>
        <w:t>抢抓市场在清洁能源、节能减排各方面迅速增长的机遇，有效推动华赣环境集团在清洁发电事业领域的业务增长，全面提升华赣环境集团垃圾发电板块的管理凝合力和市场影响力，</w:t>
      </w:r>
      <w:r>
        <w:rPr>
          <w:rFonts w:hint="eastAsia" w:ascii="仿宋_GB2312" w:hAnsi="仿宋_GB2312" w:eastAsia="仿宋_GB2312" w:cs="仿宋_GB2312"/>
          <w:color w:val="000000" w:themeColor="text1"/>
          <w:sz w:val="32"/>
          <w:szCs w:val="32"/>
          <w:highlight w:val="none"/>
          <w14:textFill>
            <w14:solidFill>
              <w14:schemeClr w14:val="tx1"/>
            </w14:solidFill>
          </w14:textFill>
        </w:rPr>
        <w:t>助力并加速推进中国电力系统碳中和步伐。</w:t>
      </w:r>
    </w:p>
    <w:p>
      <w:pPr>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drawing>
          <wp:anchor distT="0" distB="0" distL="114300" distR="114300" simplePos="0" relativeHeight="251659264" behindDoc="0" locked="0" layoutInCell="1" allowOverlap="1">
            <wp:simplePos x="0" y="0"/>
            <wp:positionH relativeFrom="column">
              <wp:posOffset>-5080</wp:posOffset>
            </wp:positionH>
            <wp:positionV relativeFrom="paragraph">
              <wp:posOffset>52070</wp:posOffset>
            </wp:positionV>
            <wp:extent cx="5287010" cy="3394075"/>
            <wp:effectExtent l="0" t="0" r="8890" b="9525"/>
            <wp:wrapNone/>
            <wp:docPr id="3" name="图片 3" descr="DJI_0834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JI_0834 - 副本"/>
                    <pic:cNvPicPr>
                      <a:picLocks noChangeAspect="1"/>
                    </pic:cNvPicPr>
                  </pic:nvPicPr>
                  <pic:blipFill>
                    <a:blip r:embed="rId4"/>
                    <a:stretch>
                      <a:fillRect/>
                    </a:stretch>
                  </pic:blipFill>
                  <pic:spPr>
                    <a:xfrm>
                      <a:off x="0" y="0"/>
                      <a:ext cx="5287010" cy="3394075"/>
                    </a:xfrm>
                    <a:prstGeom prst="rect">
                      <a:avLst/>
                    </a:prstGeom>
                  </pic:spPr>
                </pic:pic>
              </a:graphicData>
            </a:graphic>
          </wp:anchor>
        </w:drawing>
      </w: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drawing>
          <wp:anchor distT="0" distB="0" distL="114300" distR="114300" simplePos="0" relativeHeight="251660288" behindDoc="0" locked="0" layoutInCell="1" allowOverlap="1">
            <wp:simplePos x="0" y="0"/>
            <wp:positionH relativeFrom="column">
              <wp:posOffset>225425</wp:posOffset>
            </wp:positionH>
            <wp:positionV relativeFrom="paragraph">
              <wp:posOffset>-17780</wp:posOffset>
            </wp:positionV>
            <wp:extent cx="4897120" cy="3265170"/>
            <wp:effectExtent l="0" t="0" r="5080" b="11430"/>
            <wp:wrapNone/>
            <wp:docPr id="2" name="图片 2" descr="58bafa4f4becdae3847293f9c544b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8bafa4f4becdae3847293f9c544b79"/>
                    <pic:cNvPicPr>
                      <a:picLocks noChangeAspect="1"/>
                    </pic:cNvPicPr>
                  </pic:nvPicPr>
                  <pic:blipFill>
                    <a:blip r:embed="rId5"/>
                    <a:stretch>
                      <a:fillRect/>
                    </a:stretch>
                  </pic:blipFill>
                  <pic:spPr>
                    <a:xfrm>
                      <a:off x="0" y="0"/>
                      <a:ext cx="4897120" cy="3265170"/>
                    </a:xfrm>
                    <a:prstGeom prst="rect">
                      <a:avLst/>
                    </a:prstGeom>
                  </pic:spPr>
                </pic:pic>
              </a:graphicData>
            </a:graphic>
          </wp:anchor>
        </w:drawing>
      </w: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drawing>
          <wp:anchor distT="0" distB="0" distL="114300" distR="114300" simplePos="0" relativeHeight="251661312" behindDoc="0" locked="0" layoutInCell="1" allowOverlap="1">
            <wp:simplePos x="0" y="0"/>
            <wp:positionH relativeFrom="column">
              <wp:posOffset>225425</wp:posOffset>
            </wp:positionH>
            <wp:positionV relativeFrom="paragraph">
              <wp:posOffset>301625</wp:posOffset>
            </wp:positionV>
            <wp:extent cx="4893310" cy="2753360"/>
            <wp:effectExtent l="0" t="0" r="8890" b="2540"/>
            <wp:wrapNone/>
            <wp:docPr id="4" name="图片 4" descr="fbee14d3638407b8da19a765d8d1d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bee14d3638407b8da19a765d8d1daf"/>
                    <pic:cNvPicPr>
                      <a:picLocks noChangeAspect="1"/>
                    </pic:cNvPicPr>
                  </pic:nvPicPr>
                  <pic:blipFill>
                    <a:blip r:embed="rId6"/>
                    <a:stretch>
                      <a:fillRect/>
                    </a:stretch>
                  </pic:blipFill>
                  <pic:spPr>
                    <a:xfrm>
                      <a:off x="0" y="0"/>
                      <a:ext cx="4893310" cy="2753360"/>
                    </a:xfrm>
                    <a:prstGeom prst="rect">
                      <a:avLst/>
                    </a:prstGeom>
                  </pic:spPr>
                </pic:pic>
              </a:graphicData>
            </a:graphic>
          </wp:anchor>
        </w:drawing>
      </w: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rPr>
          <w:rFonts w:hint="eastAsia" w:ascii="仿宋_GB2312" w:hAnsi="仿宋_GB2312" w:eastAsia="仿宋_GB2312" w:cs="仿宋_GB2312"/>
          <w:b/>
          <w:bCs/>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一、公司概况</w:t>
      </w:r>
    </w:p>
    <w:p>
      <w:pPr>
        <w:pStyle w:val="6"/>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兴国县华赣环境有限公司（“兴国华赣”）</w:t>
      </w:r>
      <w:r>
        <w:rPr>
          <w:rFonts w:hint="eastAsia" w:ascii="仿宋" w:hAnsi="仿宋" w:eastAsia="仿宋" w:cs="仿宋"/>
          <w:sz w:val="32"/>
          <w:szCs w:val="32"/>
          <w:lang w:val="en-US" w:eastAsia="zh-CN"/>
        </w:rPr>
        <w:t>是赣州华赣环境有限公司和兴国县城市发展投资建设有限责任公司联合组建的国有企业，于2019年9月10日正式成立，注册资本金1.2亿元。兴国华赣现设有综合管理部、计划财务部、生产技术部、生产运行部、安全环保部共 5个部门，在册员工66人，目前已经进入实施阶段的项目为兴国县生活垃圾焚烧发电项目，建设地点位于兴国县埠头乡围子上，项目处理规模1000吨/天，占地面积118.15亩，总投资57642万元。项目建设主要内容包括：2台500吨/天垃圾焚烧炉排炉、2台45t/h中温次高压6.4Mpa,450℃）余热锅炉、1台20MW中温次高压蒸汽轮机等。项目采用BOT特许经营权的投资建设运营模式建设。项目建成后年均发电量13264万kW.h，年均上网电量10820万kW.h。</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崇义华赣环保能源有限公司</w:t>
      </w:r>
      <w:r>
        <w:rPr>
          <w:rFonts w:hint="eastAsia" w:ascii="仿宋" w:hAnsi="仿宋" w:eastAsia="仿宋" w:cs="仿宋"/>
          <w:color w:val="000000"/>
          <w:kern w:val="0"/>
          <w:sz w:val="32"/>
          <w:szCs w:val="32"/>
          <w:lang w:val="en-US" w:eastAsia="zh-CN" w:bidi="ar-SA"/>
        </w:rPr>
        <w:t>注册资本金5000万元，是由赣州华赣环境有限公司（国有企业）、浙江伟明环保股份有限公司（上市公司）和崇义县鼎兴城镇开发投资有限公司（国有企业）合资组建。公司在建项目崇义县生活垃圾焚烧发电项目，位于崇义县横水镇碧坑村两尾坑。该项目总处理规模800吨/日，用地面积100.41亩，分两期建设，其中一期工程400吨/日，二期工程为400吨/日。本期建设一期工程，总投资为29981万元，一期工程配置1台400吨/日垃圾焚烧炉排炉，1台中温中压（400℃，4.0MPa）余热锅炉，1台9MW凝汽式汽轮发电机组以及对应的配套系统。</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kern w:val="0"/>
          <w:sz w:val="32"/>
          <w:szCs w:val="32"/>
          <w:lang w:val="en-US" w:eastAsia="zh-CN" w:bidi="ar-SA"/>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bidi="ar-SA"/>
        </w:rPr>
        <w:t>二、</w:t>
      </w:r>
      <w:r>
        <w:rPr>
          <w:rFonts w:hint="eastAsia" w:ascii="黑体" w:hAnsi="黑体" w:eastAsia="黑体" w:cs="黑体"/>
          <w:b/>
          <w:bCs/>
          <w:kern w:val="0"/>
          <w:sz w:val="32"/>
          <w:szCs w:val="32"/>
          <w:lang w:val="en-US" w:eastAsia="zh-CN"/>
        </w:rPr>
        <w:t>招聘岗位及要求</w:t>
      </w:r>
    </w:p>
    <w:tbl>
      <w:tblPr>
        <w:tblStyle w:val="3"/>
        <w:tblW w:w="10102" w:type="dxa"/>
        <w:jc w:val="center"/>
        <w:shd w:val="clear" w:color="auto" w:fill="auto"/>
        <w:tblLayout w:type="fixed"/>
        <w:tblCellMar>
          <w:top w:w="0" w:type="dxa"/>
          <w:left w:w="108" w:type="dxa"/>
          <w:bottom w:w="0" w:type="dxa"/>
          <w:right w:w="108" w:type="dxa"/>
        </w:tblCellMar>
      </w:tblPr>
      <w:tblGrid>
        <w:gridCol w:w="885"/>
        <w:gridCol w:w="1467"/>
        <w:gridCol w:w="1543"/>
        <w:gridCol w:w="881"/>
        <w:gridCol w:w="2117"/>
        <w:gridCol w:w="3209"/>
      </w:tblGrid>
      <w:tr>
        <w:tblPrEx>
          <w:shd w:val="clear" w:color="auto" w:fill="auto"/>
          <w:tblCellMar>
            <w:top w:w="0" w:type="dxa"/>
            <w:left w:w="108" w:type="dxa"/>
            <w:bottom w:w="0" w:type="dxa"/>
            <w:right w:w="108" w:type="dxa"/>
          </w:tblCellMar>
        </w:tblPrEx>
        <w:trPr>
          <w:trHeight w:val="664"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公司</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部门</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岗位</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人数</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岗位职责</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任职要求</w:t>
            </w:r>
          </w:p>
        </w:tc>
      </w:tr>
      <w:tr>
        <w:tblPrEx>
          <w:tblCellMar>
            <w:top w:w="0" w:type="dxa"/>
            <w:left w:w="108" w:type="dxa"/>
            <w:bottom w:w="0" w:type="dxa"/>
            <w:right w:w="108" w:type="dxa"/>
          </w:tblCellMar>
        </w:tblPrEx>
        <w:trPr>
          <w:trHeight w:val="1297"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兴国华赣</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生产运行部</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集控值班员</w:t>
            </w:r>
          </w:p>
          <w:p>
            <w:pPr>
              <w:pStyle w:val="2"/>
              <w:rPr>
                <w:rFonts w:hint="eastAsia"/>
                <w:lang w:val="en-US" w:eastAsia="zh-CN"/>
              </w:rPr>
            </w:pPr>
            <w:r>
              <w:rPr>
                <w:rFonts w:hint="eastAsia" w:ascii="仿宋" w:hAnsi="仿宋" w:eastAsia="仿宋" w:cs="仿宋"/>
                <w:i w:val="0"/>
                <w:iCs w:val="0"/>
                <w:color w:val="000000"/>
                <w:kern w:val="0"/>
                <w:sz w:val="24"/>
                <w:szCs w:val="24"/>
                <w:u w:val="none"/>
                <w:lang w:val="en-US" w:eastAsia="zh-CN" w:bidi="ar"/>
              </w:rPr>
              <w:t>（电气、汽机、锅炉等）</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若干</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负责本值的生产运行工作</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1.电力、自动化、电气类等相关专业，大专及以上学历；</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2.有较好地沟通能力和团队意识。</w:t>
            </w:r>
          </w:p>
        </w:tc>
      </w:tr>
      <w:tr>
        <w:tblPrEx>
          <w:tblCellMar>
            <w:top w:w="0" w:type="dxa"/>
            <w:left w:w="108" w:type="dxa"/>
            <w:bottom w:w="0" w:type="dxa"/>
            <w:right w:w="108" w:type="dxa"/>
          </w:tblCellMar>
        </w:tblPrEx>
        <w:trPr>
          <w:trHeight w:val="1297"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崇义华赣</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生产运行部</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集控值班员</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（电气、汽机、锅炉等）</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若干</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负责本值的生产运行工作</w:t>
            </w:r>
          </w:p>
        </w:tc>
        <w:tc>
          <w:tcPr>
            <w:tcW w:w="3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1.电力、自动化、电气类等相关专业，大专及以上学历；</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2.有较好地沟通能力和团队意识。</w:t>
            </w:r>
          </w:p>
        </w:tc>
      </w:tr>
    </w:tbl>
    <w:p>
      <w:pPr>
        <w:pStyle w:val="6"/>
        <w:keepNext w:val="0"/>
        <w:keepLines w:val="0"/>
        <w:pageBreakBefore w:val="0"/>
        <w:kinsoku/>
        <w:wordWrap/>
        <w:overflowPunct/>
        <w:topLinePunct w:val="0"/>
        <w:bidi w:val="0"/>
        <w:snapToGrid/>
        <w:spacing w:line="576" w:lineRule="exact"/>
        <w:ind w:firstLine="640" w:firstLineChars="200"/>
        <w:jc w:val="both"/>
        <w:rPr>
          <w:rFonts w:hint="default" w:ascii="仿宋" w:hAnsi="仿宋" w:eastAsia="仿宋" w:cs="仿宋"/>
          <w:kern w:val="0"/>
          <w:sz w:val="32"/>
          <w:szCs w:val="32"/>
          <w:lang w:val="en-US" w:eastAsia="zh-CN"/>
        </w:rPr>
      </w:pPr>
      <w:r>
        <w:rPr>
          <w:rFonts w:hint="eastAsia" w:ascii="仿宋" w:hAnsi="仿宋" w:eastAsia="仿宋" w:cs="仿宋"/>
          <w:sz w:val="32"/>
          <w:szCs w:val="32"/>
          <w:lang w:val="en-US" w:eastAsia="zh-CN"/>
        </w:rPr>
        <w:t>工作地点：赣州市兴国县、崇义县</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三、薪酬福利</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1、薪酬待遇：国企正式员工，提供行业区域内具有竞争力的薪酬待遇。</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2、社会保险：按国家规定缴纳五险一金"和补充医疗保险，公司将建立企业年金等进一步完善员工养老和医疗保障。</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 xml:space="preserve">3、休假待遇：执行国家和江西省规定的法定休假制度。         </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kern w:val="0"/>
          <w:sz w:val="32"/>
          <w:szCs w:val="32"/>
          <w:highlight w:val="none"/>
          <w:lang w:val="en-US" w:eastAsia="zh-CN" w:bidi="ar-SA"/>
        </w:rPr>
      </w:pPr>
      <w:r>
        <w:rPr>
          <w:rFonts w:hint="eastAsia" w:ascii="仿宋" w:hAnsi="仿宋" w:eastAsia="仿宋" w:cs="仿宋"/>
          <w:color w:val="000000"/>
          <w:kern w:val="0"/>
          <w:sz w:val="32"/>
          <w:szCs w:val="32"/>
          <w:highlight w:val="none"/>
          <w:lang w:val="en-US" w:eastAsia="zh-CN" w:bidi="ar-SA"/>
        </w:rPr>
        <w:t>4、生活保障：公司提供员工食堂工作餐、公寓式员工宿舍，台球室、羽毛球场、篮球场、乒乓球场及健身房。</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kern w:val="0"/>
          <w:sz w:val="32"/>
          <w:szCs w:val="32"/>
          <w:highlight w:val="none"/>
          <w:lang w:val="en-US" w:eastAsia="zh-CN" w:bidi="ar-SA"/>
        </w:rPr>
      </w:pPr>
      <w:r>
        <w:rPr>
          <w:rFonts w:hint="eastAsia" w:ascii="仿宋" w:hAnsi="仿宋" w:eastAsia="仿宋" w:cs="仿宋"/>
          <w:color w:val="000000"/>
          <w:kern w:val="0"/>
          <w:sz w:val="32"/>
          <w:szCs w:val="32"/>
          <w:highlight w:val="none"/>
          <w:lang w:val="en-US" w:eastAsia="zh-CN" w:bidi="ar-SA"/>
        </w:rPr>
        <w:t>5、福利待遇：带薪年休假、通讯费、劳保用品、高温补贴、取暖补贴、年度健康体检、三节福利和生日慰问等工会福利。</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6、其余奖励：总经理特别奖、项目科研奖励等。</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四、招聘程序</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kern w:val="0"/>
          <w:sz w:val="32"/>
          <w:szCs w:val="32"/>
          <w:highlight w:val="none"/>
          <w:lang w:val="en-US" w:eastAsia="zh-CN" w:bidi="ar-SA"/>
        </w:rPr>
      </w:pPr>
      <w:r>
        <w:rPr>
          <w:rFonts w:hint="eastAsia" w:ascii="仿宋" w:hAnsi="仿宋" w:eastAsia="仿宋" w:cs="仿宋"/>
          <w:color w:val="000000"/>
          <w:kern w:val="0"/>
          <w:sz w:val="32"/>
          <w:szCs w:val="32"/>
          <w:lang w:val="en-US" w:eastAsia="zh-CN" w:bidi="ar-SA"/>
        </w:rPr>
        <w:t>招聘工作按照发布公告、报名、资格审查、现场测试（笔试、面</w:t>
      </w:r>
      <w:r>
        <w:rPr>
          <w:rFonts w:hint="eastAsia" w:ascii="仿宋" w:hAnsi="仿宋" w:eastAsia="仿宋" w:cs="仿宋"/>
          <w:color w:val="000000"/>
          <w:kern w:val="0"/>
          <w:sz w:val="32"/>
          <w:szCs w:val="32"/>
          <w:highlight w:val="none"/>
          <w:lang w:val="en-US" w:eastAsia="zh-CN" w:bidi="ar-SA"/>
        </w:rPr>
        <w:t>试）、线上测试、体检等程序进行。</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五、报名方式</w:t>
      </w:r>
    </w:p>
    <w:p>
      <w:pPr>
        <w:keepNext w:val="0"/>
        <w:keepLines w:val="0"/>
        <w:pageBreakBefore w:val="0"/>
        <w:widowControl/>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请应聘者将个人简历与相关学历学位、资质证书扫描件等附件以压缩包形式发送至指定邮箱，邮件标题及压缩包以“姓名+学历+专业+应聘岗位”格式命名：</w:t>
      </w:r>
    </w:p>
    <w:p>
      <w:pPr>
        <w:keepNext w:val="0"/>
        <w:keepLines w:val="0"/>
        <w:pageBreakBefore w:val="0"/>
        <w:widowControl/>
        <w:shd w:val="clear" w:color="auto" w:fill="FFFFFF"/>
        <w:kinsoku/>
        <w:wordWrap w:val="0"/>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兴国华赣</w:t>
      </w:r>
      <w:r>
        <w:rPr>
          <w:rFonts w:hint="eastAsia" w:ascii="仿宋" w:hAnsi="仿宋" w:eastAsia="仿宋" w:cs="仿宋"/>
          <w:color w:val="000000" w:themeColor="text1"/>
          <w:kern w:val="0"/>
          <w:sz w:val="32"/>
          <w:szCs w:val="32"/>
          <w:u w:val="none"/>
          <w:lang w:val="en-US" w:eastAsia="zh-CN" w:bidi="ar-SA"/>
          <w14:textFill>
            <w14:solidFill>
              <w14:schemeClr w14:val="tx1"/>
            </w14:solidFill>
          </w14:textFill>
        </w:rPr>
        <w:t>：</w:t>
      </w:r>
      <w:r>
        <w:rPr>
          <w:rFonts w:hint="eastAsia" w:ascii="仿宋" w:hAnsi="仿宋" w:eastAsia="仿宋" w:cs="仿宋"/>
          <w:color w:val="000000" w:themeColor="text1"/>
          <w:kern w:val="0"/>
          <w:sz w:val="32"/>
          <w:szCs w:val="32"/>
          <w:u w:val="none"/>
          <w:lang w:val="en-US" w:eastAsia="zh-CN" w:bidi="ar-SA"/>
          <w14:textFill>
            <w14:solidFill>
              <w14:schemeClr w14:val="tx1"/>
            </w14:solidFill>
          </w14:textFill>
        </w:rPr>
        <w:fldChar w:fldCharType="begin"/>
      </w:r>
      <w:r>
        <w:rPr>
          <w:rFonts w:hint="eastAsia" w:ascii="仿宋" w:hAnsi="仿宋" w:eastAsia="仿宋" w:cs="仿宋"/>
          <w:color w:val="000000" w:themeColor="text1"/>
          <w:kern w:val="0"/>
          <w:sz w:val="32"/>
          <w:szCs w:val="32"/>
          <w:u w:val="none"/>
          <w:lang w:val="en-US" w:eastAsia="zh-CN" w:bidi="ar-SA"/>
          <w14:textFill>
            <w14:solidFill>
              <w14:schemeClr w14:val="tx1"/>
            </w14:solidFill>
          </w14:textFill>
        </w:rPr>
        <w:instrText xml:space="preserve"> HYPERLINK "mailto:xghghr@163.com，" </w:instrText>
      </w:r>
      <w:r>
        <w:rPr>
          <w:rFonts w:hint="eastAsia" w:ascii="仿宋" w:hAnsi="仿宋" w:eastAsia="仿宋" w:cs="仿宋"/>
          <w:color w:val="000000" w:themeColor="text1"/>
          <w:kern w:val="0"/>
          <w:sz w:val="32"/>
          <w:szCs w:val="32"/>
          <w:u w:val="none"/>
          <w:lang w:val="en-US" w:eastAsia="zh-CN" w:bidi="ar-SA"/>
          <w14:textFill>
            <w14:solidFill>
              <w14:schemeClr w14:val="tx1"/>
            </w14:solidFill>
          </w14:textFill>
        </w:rPr>
        <w:fldChar w:fldCharType="separate"/>
      </w:r>
      <w:r>
        <w:rPr>
          <w:rStyle w:val="5"/>
          <w:rFonts w:hint="eastAsia" w:ascii="仿宋" w:hAnsi="仿宋" w:eastAsia="仿宋" w:cs="仿宋"/>
          <w:color w:val="000000" w:themeColor="text1"/>
          <w:kern w:val="0"/>
          <w:sz w:val="32"/>
          <w:szCs w:val="32"/>
          <w:u w:val="none"/>
          <w:lang w:val="en-US" w:eastAsia="zh-CN" w:bidi="ar-SA"/>
          <w14:textFill>
            <w14:solidFill>
              <w14:schemeClr w14:val="tx1"/>
            </w14:solidFill>
          </w14:textFill>
        </w:rPr>
        <w:t>xghghr@163.com，</w:t>
      </w:r>
      <w:r>
        <w:rPr>
          <w:rFonts w:hint="eastAsia" w:ascii="仿宋" w:hAnsi="仿宋" w:eastAsia="仿宋" w:cs="仿宋"/>
          <w:color w:val="000000" w:themeColor="text1"/>
          <w:kern w:val="0"/>
          <w:sz w:val="32"/>
          <w:szCs w:val="32"/>
          <w:u w:val="none"/>
          <w:lang w:val="en-US" w:eastAsia="zh-CN" w:bidi="ar-SA"/>
          <w14:textFill>
            <w14:solidFill>
              <w14:schemeClr w14:val="tx1"/>
            </w14:solidFill>
          </w14:textFill>
        </w:rPr>
        <w:fldChar w:fldCharType="end"/>
      </w:r>
      <w:r>
        <w:rPr>
          <w:rFonts w:hint="eastAsia" w:ascii="仿宋" w:hAnsi="仿宋" w:eastAsia="仿宋" w:cs="仿宋"/>
          <w:color w:val="000000" w:themeColor="text1"/>
          <w:kern w:val="0"/>
          <w:sz w:val="32"/>
          <w:szCs w:val="32"/>
          <w:u w:val="none"/>
          <w:lang w:val="en-US" w:eastAsia="zh-CN" w:bidi="ar-SA"/>
          <w14:textFill>
            <w14:solidFill>
              <w14:schemeClr w14:val="tx1"/>
            </w14:solidFill>
          </w14:textFill>
        </w:rPr>
        <w:t xml:space="preserve"> </w:t>
      </w:r>
      <w:r>
        <w:rPr>
          <w:rFonts w:hint="eastAsia" w:ascii="仿宋" w:hAnsi="仿宋" w:eastAsia="仿宋" w:cs="仿宋"/>
          <w:color w:val="000000"/>
          <w:kern w:val="0"/>
          <w:sz w:val="32"/>
          <w:szCs w:val="32"/>
          <w:lang w:val="en-US" w:eastAsia="zh-CN" w:bidi="ar-SA"/>
        </w:rPr>
        <w:t xml:space="preserve"> 联系人：邱经理 </w:t>
      </w:r>
      <w:bookmarkStart w:id="0" w:name="_GoBack"/>
      <w:bookmarkEnd w:id="0"/>
    </w:p>
    <w:p>
      <w:pPr>
        <w:pStyle w:val="2"/>
        <w:keepNext w:val="0"/>
        <w:keepLines w:val="0"/>
        <w:pageBreakBefore w:val="0"/>
        <w:kinsoku/>
        <w:wordWrap w:val="0"/>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SA"/>
        </w:rPr>
        <w:t xml:space="preserve">崇义华赣：854304509@qq.com，联系人：杨经理 </w:t>
      </w:r>
    </w:p>
    <w:p>
      <w:pPr>
        <w:rPr>
          <w:rFonts w:hint="eastAsia" w:ascii="仿宋_GB2312" w:hAnsi="仿宋_GB2312" w:eastAsia="仿宋_GB2312" w:cs="仿宋_GB2312"/>
          <w:b/>
          <w:bCs/>
          <w:sz w:val="32"/>
          <w:szCs w:val="32"/>
        </w:rPr>
      </w:pPr>
    </w:p>
    <w:sectPr>
      <w:pgSz w:w="11906" w:h="16838"/>
      <w:pgMar w:top="1660" w:right="1486"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wY2YzMjIzMDZlODZmMTZmYzdmNzE5NmRlMzE3MDkifQ=="/>
  </w:docVars>
  <w:rsids>
    <w:rsidRoot w:val="00000000"/>
    <w:rsid w:val="08C4398C"/>
    <w:rsid w:val="29FF65A7"/>
    <w:rsid w:val="373C0290"/>
    <w:rsid w:val="54751090"/>
    <w:rsid w:val="6D9049F1"/>
    <w:rsid w:val="706D666C"/>
    <w:rsid w:val="77702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color w:val="008000"/>
      <w:sz w:val="24"/>
      <w:szCs w:val="20"/>
    </w:rPr>
  </w:style>
  <w:style w:type="character" w:styleId="5">
    <w:name w:val="Hyperlink"/>
    <w:basedOn w:val="4"/>
    <w:uiPriority w:val="0"/>
    <w:rPr>
      <w:color w:val="0000FF"/>
      <w:u w:val="single"/>
    </w:rPr>
  </w:style>
  <w:style w:type="paragraph" w:customStyle="1" w:styleId="6">
    <w:name w:val="Default"/>
    <w:qFormat/>
    <w:uiPriority w:val="0"/>
    <w:pPr>
      <w:widowControl w:val="0"/>
      <w:autoSpaceDE w:val="0"/>
      <w:autoSpaceDN w:val="0"/>
      <w:adjustRightInd w:val="0"/>
    </w:pPr>
    <w:rPr>
      <w:rFonts w:ascii="Arial Unicode MS" w:hAnsi="Calibri"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2022-09-06T01:40:00Z</dcterms:created>
  <dc:creator>86181</dc:creator>
  <cp:lastModifiedBy>Hehe</cp:lastModifiedBy>
  <dcterms:modified xsi:type="dcterms:W3CDTF">2023-10-20T09:49:57Z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FDFBEC368BB042C187555EF3BA19965E_13</vt:lpwstr>
  </property>
</Properties>
</file>