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b/>
          <w:bCs/>
          <w:sz w:val="44"/>
          <w:szCs w:val="44"/>
        </w:rPr>
      </w:pPr>
    </w:p>
    <w:p>
      <w:pPr>
        <w:spacing w:line="360" w:lineRule="auto"/>
        <w:jc w:val="center"/>
        <w:rPr>
          <w:rFonts w:ascii="黑体" w:hAnsi="黑体" w:eastAsia="黑体"/>
          <w:b/>
          <w:bCs/>
          <w:sz w:val="44"/>
          <w:szCs w:val="44"/>
        </w:rPr>
      </w:pPr>
      <w:r>
        <w:rPr>
          <w:rFonts w:hint="eastAsia" w:ascii="黑体" w:hAnsi="黑体" w:eastAsia="黑体"/>
          <w:b/>
          <w:bCs/>
          <w:sz w:val="44"/>
          <w:szCs w:val="44"/>
        </w:rPr>
        <w:t>首  创  环  境</w:t>
      </w:r>
    </w:p>
    <w:p>
      <w:pPr>
        <w:jc w:val="center"/>
        <w:rPr>
          <w:rFonts w:ascii="黑体" w:hAnsi="黑体" w:eastAsia="黑体"/>
          <w:b/>
          <w:spacing w:val="40"/>
          <w:sz w:val="44"/>
          <w:szCs w:val="44"/>
        </w:rPr>
      </w:pPr>
      <w:r>
        <w:rPr>
          <w:rFonts w:hint="eastAsia" w:ascii="仿宋" w:hAnsi="仿宋" w:eastAsia="仿宋"/>
          <w:b/>
          <w:sz w:val="44"/>
          <w:szCs w:val="44"/>
        </w:rPr>
        <w:t xml:space="preserve"> </w:t>
      </w:r>
      <w:r>
        <w:rPr>
          <w:rFonts w:hint="eastAsia" w:ascii="黑体" w:hAnsi="黑体" w:eastAsia="黑体"/>
          <w:b/>
          <w:spacing w:val="40"/>
          <w:sz w:val="44"/>
          <w:szCs w:val="44"/>
        </w:rPr>
        <w:t>南昌泉岭生活垃圾焚烧发电厂</w:t>
      </w:r>
    </w:p>
    <w:p>
      <w:pPr>
        <w:jc w:val="center"/>
        <w:rPr>
          <w:rFonts w:ascii="仿宋" w:hAnsi="仿宋" w:eastAsia="仿宋"/>
          <w:b/>
          <w:sz w:val="24"/>
          <w:szCs w:val="44"/>
        </w:rPr>
      </w:pPr>
    </w:p>
    <w:p>
      <w:pPr>
        <w:jc w:val="center"/>
        <w:rPr>
          <w:rFonts w:ascii="仿宋" w:hAnsi="仿宋" w:eastAsia="仿宋"/>
          <w:b/>
          <w:sz w:val="24"/>
          <w:szCs w:val="44"/>
        </w:rPr>
      </w:pPr>
    </w:p>
    <w:p>
      <w:pPr>
        <w:keepNext w:val="0"/>
        <w:keepLines w:val="0"/>
        <w:pageBreakBefore w:val="0"/>
        <w:widowControl w:val="0"/>
        <w:kinsoku/>
        <w:wordWrap/>
        <w:overflowPunct/>
        <w:topLinePunct w:val="0"/>
        <w:autoSpaceDE/>
        <w:autoSpaceDN/>
        <w:bidi w:val="0"/>
        <w:adjustRightInd/>
        <w:snapToGrid/>
        <w:spacing w:after="627" w:afterLines="201" w:afterAutospacing="0" w:line="120" w:lineRule="auto"/>
        <w:jc w:val="center"/>
        <w:textAlignment w:val="auto"/>
        <w:outlineLvl w:val="9"/>
        <w:rPr>
          <w:rFonts w:hint="eastAsia" w:ascii="黑体" w:hAnsi="黑体" w:eastAsia="黑体"/>
          <w:b/>
          <w:sz w:val="72"/>
          <w:szCs w:val="52"/>
          <w:lang w:val="en-US" w:eastAsia="zh-CN"/>
        </w:rPr>
      </w:pPr>
      <w:r>
        <w:rPr>
          <w:rFonts w:hint="eastAsia" w:ascii="黑体" w:hAnsi="黑体" w:eastAsia="黑体"/>
          <w:b/>
          <w:sz w:val="72"/>
          <w:szCs w:val="52"/>
          <w:lang w:val="en-US" w:eastAsia="zh-CN"/>
        </w:rPr>
        <w:t>招聘</w:t>
      </w:r>
      <w:r>
        <w:rPr>
          <w:rFonts w:hint="eastAsia" w:ascii="黑体" w:hAnsi="黑体" w:eastAsia="黑体"/>
          <w:b/>
          <w:sz w:val="72"/>
          <w:szCs w:val="52"/>
        </w:rPr>
        <w:t>简</w:t>
      </w:r>
      <w:r>
        <w:rPr>
          <w:rFonts w:hint="eastAsia" w:ascii="黑体" w:hAnsi="黑体" w:eastAsia="黑体"/>
          <w:b/>
          <w:sz w:val="72"/>
          <w:szCs w:val="52"/>
          <w:lang w:val="en-US" w:eastAsia="zh-CN"/>
        </w:rPr>
        <w:t>章</w:t>
      </w:r>
    </w:p>
    <w:p>
      <w:pPr>
        <w:jc w:val="center"/>
        <w:rPr>
          <w:rFonts w:ascii="仿宋" w:hAnsi="仿宋" w:eastAsia="仿宋"/>
          <w:b/>
          <w:sz w:val="44"/>
          <w:szCs w:val="44"/>
        </w:rPr>
      </w:pPr>
      <w:r>
        <w:rPr>
          <w:rFonts w:ascii="仿宋" w:hAnsi="仿宋" w:eastAsia="仿宋"/>
          <w:b/>
          <w:sz w:val="44"/>
          <w:szCs w:val="44"/>
        </w:rPr>
        <w:drawing>
          <wp:inline distT="0" distB="0" distL="0" distR="0">
            <wp:extent cx="5400040" cy="3021330"/>
            <wp:effectExtent l="0" t="0" r="10160" b="7620"/>
            <wp:docPr id="2" name="图片 2" descr="F:\宣传\南昌项目公司宣传介绍\南昌项目介绍（图片）\南昌项目主要宣传图片\mmexport1471917013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宣传\南昌项目公司宣传介绍\南昌项目介绍（图片）\南昌项目主要宣传图片\mmexport1471917013979.jpg"/>
                    <pic:cNvPicPr>
                      <a:picLocks noChangeAspect="1" noChangeArrowheads="1"/>
                    </pic:cNvPicPr>
                  </pic:nvPicPr>
                  <pic:blipFill>
                    <a:blip r:embed="rId6" cstate="print"/>
                    <a:srcRect/>
                    <a:stretch>
                      <a:fillRect/>
                    </a:stretch>
                  </pic:blipFill>
                  <pic:spPr>
                    <a:xfrm>
                      <a:off x="0" y="0"/>
                      <a:ext cx="5400040" cy="3021391"/>
                    </a:xfrm>
                    <a:prstGeom prst="rect">
                      <a:avLst/>
                    </a:prstGeom>
                    <a:noFill/>
                    <a:ln w="9525">
                      <a:noFill/>
                      <a:miter lim="800000"/>
                      <a:headEnd/>
                      <a:tailEnd/>
                    </a:ln>
                  </pic:spPr>
                </pic:pic>
              </a:graphicData>
            </a:graphic>
          </wp:inline>
        </w:drawing>
      </w:r>
    </w:p>
    <w:p>
      <w:pPr>
        <w:jc w:val="center"/>
        <w:rPr>
          <w:rFonts w:ascii="仿宋" w:hAnsi="仿宋" w:eastAsia="仿宋"/>
          <w:b/>
          <w:sz w:val="44"/>
          <w:szCs w:val="44"/>
        </w:rPr>
      </w:pPr>
    </w:p>
    <w:p>
      <w:pPr>
        <w:jc w:val="center"/>
        <w:rPr>
          <w:rFonts w:ascii="仿宋" w:hAnsi="仿宋" w:eastAsia="仿宋"/>
          <w:b/>
          <w:sz w:val="44"/>
          <w:szCs w:val="44"/>
        </w:rPr>
      </w:pPr>
    </w:p>
    <w:p>
      <w:pPr>
        <w:jc w:val="center"/>
        <w:rPr>
          <w:rFonts w:ascii="仿宋" w:hAnsi="仿宋" w:eastAsia="仿宋"/>
          <w:b/>
          <w:sz w:val="44"/>
          <w:szCs w:val="44"/>
        </w:rPr>
      </w:pPr>
    </w:p>
    <w:p>
      <w:pPr>
        <w:jc w:val="center"/>
        <w:rPr>
          <w:rFonts w:ascii="黑体" w:hAnsi="黑体" w:eastAsia="黑体"/>
          <w:spacing w:val="40"/>
          <w:sz w:val="32"/>
          <w:szCs w:val="32"/>
        </w:rPr>
      </w:pPr>
      <w:r>
        <w:rPr>
          <w:rFonts w:hint="eastAsia" w:ascii="黑体" w:hAnsi="黑体" w:eastAsia="黑体"/>
          <w:spacing w:val="40"/>
          <w:sz w:val="32"/>
          <w:szCs w:val="32"/>
        </w:rPr>
        <w:t>南昌首创环保能源有限公司</w:t>
      </w:r>
    </w:p>
    <w:p>
      <w:pPr>
        <w:jc w:val="center"/>
        <w:rPr>
          <w:rFonts w:ascii="黑体" w:hAnsi="黑体" w:eastAsia="黑体"/>
          <w:bCs/>
          <w:spacing w:val="40"/>
          <w:sz w:val="28"/>
          <w:szCs w:val="28"/>
        </w:rPr>
      </w:pPr>
      <w:r>
        <w:rPr>
          <w:rFonts w:hint="eastAsia" w:ascii="黑体" w:hAnsi="黑体" w:eastAsia="黑体"/>
          <w:bCs/>
          <w:spacing w:val="40"/>
          <w:sz w:val="32"/>
          <w:szCs w:val="32"/>
        </w:rPr>
        <w:t>二〇</w:t>
      </w:r>
      <w:r>
        <w:rPr>
          <w:rFonts w:hint="eastAsia" w:ascii="黑体" w:hAnsi="黑体" w:eastAsia="黑体"/>
          <w:bCs/>
          <w:spacing w:val="40"/>
          <w:sz w:val="32"/>
          <w:szCs w:val="32"/>
          <w:lang w:eastAsia="zh-CN"/>
        </w:rPr>
        <w:t>二</w:t>
      </w:r>
      <w:r>
        <w:rPr>
          <w:rFonts w:hint="eastAsia" w:ascii="黑体" w:hAnsi="黑体" w:eastAsia="黑体"/>
          <w:bCs/>
          <w:spacing w:val="40"/>
          <w:sz w:val="32"/>
          <w:szCs w:val="32"/>
          <w:lang w:val="en-US" w:eastAsia="zh-CN"/>
        </w:rPr>
        <w:t>三</w:t>
      </w:r>
      <w:r>
        <w:rPr>
          <w:rFonts w:hint="eastAsia" w:ascii="黑体" w:hAnsi="黑体" w:eastAsia="黑体"/>
          <w:bCs/>
          <w:spacing w:val="40"/>
          <w:sz w:val="32"/>
          <w:szCs w:val="32"/>
        </w:rPr>
        <w:t>年</w:t>
      </w:r>
      <w:r>
        <w:rPr>
          <w:rFonts w:hint="eastAsia" w:ascii="黑体" w:hAnsi="黑体" w:eastAsia="黑体"/>
          <w:bCs/>
          <w:spacing w:val="40"/>
          <w:sz w:val="32"/>
          <w:szCs w:val="32"/>
          <w:lang w:val="en-US" w:eastAsia="zh-CN"/>
        </w:rPr>
        <w:t>六</w:t>
      </w:r>
      <w:r>
        <w:rPr>
          <w:rFonts w:hint="eastAsia" w:ascii="黑体" w:hAnsi="黑体" w:eastAsia="黑体"/>
          <w:bCs/>
          <w:spacing w:val="40"/>
          <w:sz w:val="32"/>
          <w:szCs w:val="32"/>
        </w:rPr>
        <w:t>月</w:t>
      </w:r>
    </w:p>
    <w:p>
      <w:pPr>
        <w:keepNext w:val="0"/>
        <w:keepLines w:val="0"/>
        <w:pageBreakBefore w:val="0"/>
        <w:widowControl w:val="0"/>
        <w:kinsoku/>
        <w:wordWrap/>
        <w:overflowPunct/>
        <w:topLinePunct w:val="0"/>
        <w:autoSpaceDE/>
        <w:autoSpaceDN/>
        <w:bidi w:val="0"/>
        <w:adjustRightInd/>
        <w:snapToGrid/>
        <w:spacing w:beforeAutospacing="0" w:line="120" w:lineRule="auto"/>
        <w:jc w:val="center"/>
        <w:textAlignment w:val="auto"/>
        <w:outlineLvl w:val="9"/>
        <w:rPr>
          <w:rFonts w:hint="eastAsia" w:ascii="华文仿宋" w:hAnsi="华文仿宋" w:eastAsia="华文仿宋"/>
          <w:b/>
          <w:sz w:val="44"/>
          <w:szCs w:val="44"/>
          <w:lang w:val="en-US" w:eastAsia="zh-CN"/>
        </w:rPr>
        <w:sectPr>
          <w:headerReference r:id="rId3" w:type="default"/>
          <w:pgSz w:w="11906" w:h="16838"/>
          <w:pgMar w:top="1417" w:right="1514" w:bottom="1134" w:left="1627" w:header="1304"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center"/>
        <w:textAlignment w:val="auto"/>
        <w:outlineLvl w:val="9"/>
        <w:rPr>
          <w:rFonts w:hint="eastAsia" w:ascii="华文仿宋" w:hAnsi="华文仿宋" w:eastAsia="华文仿宋"/>
          <w:b/>
          <w:sz w:val="44"/>
          <w:szCs w:val="44"/>
          <w:lang w:val="en-US" w:eastAsia="zh-CN"/>
        </w:rPr>
      </w:pPr>
      <w:r>
        <w:rPr>
          <w:rFonts w:hint="eastAsia" w:ascii="华文仿宋" w:hAnsi="华文仿宋" w:eastAsia="华文仿宋"/>
          <w:b/>
          <w:sz w:val="44"/>
          <w:szCs w:val="44"/>
          <w:lang w:val="en-US" w:eastAsia="zh-CN"/>
        </w:rPr>
        <w:t>南昌</w:t>
      </w:r>
      <w:r>
        <w:rPr>
          <w:rFonts w:hint="eastAsia" w:ascii="华文仿宋" w:hAnsi="华文仿宋" w:eastAsia="华文仿宋"/>
          <w:b/>
          <w:sz w:val="44"/>
          <w:szCs w:val="44"/>
          <w:lang w:eastAsia="zh-CN"/>
        </w:rPr>
        <w:t>首创</w:t>
      </w:r>
      <w:r>
        <w:rPr>
          <w:rFonts w:hint="eastAsia" w:ascii="华文仿宋" w:hAnsi="华文仿宋" w:eastAsia="华文仿宋"/>
          <w:b/>
          <w:sz w:val="44"/>
          <w:szCs w:val="44"/>
          <w:lang w:val="en-US" w:eastAsia="zh-CN"/>
        </w:rPr>
        <w:t xml:space="preserve">环保能源有限公司 </w:t>
      </w:r>
    </w:p>
    <w:p>
      <w:pPr>
        <w:keepNext w:val="0"/>
        <w:keepLines w:val="0"/>
        <w:pageBreakBefore w:val="0"/>
        <w:widowControl w:val="0"/>
        <w:kinsoku/>
        <w:wordWrap/>
        <w:overflowPunct/>
        <w:topLinePunct w:val="0"/>
        <w:autoSpaceDE/>
        <w:autoSpaceDN/>
        <w:bidi w:val="0"/>
        <w:adjustRightInd/>
        <w:snapToGrid/>
        <w:spacing w:line="120" w:lineRule="auto"/>
        <w:jc w:val="center"/>
        <w:textAlignment w:val="auto"/>
        <w:outlineLvl w:val="9"/>
        <w:rPr>
          <w:rFonts w:ascii="华文仿宋" w:hAnsi="华文仿宋" w:eastAsia="华文仿宋"/>
          <w:b/>
          <w:sz w:val="44"/>
          <w:szCs w:val="44"/>
        </w:rPr>
      </w:pPr>
      <w:r>
        <w:rPr>
          <w:rFonts w:hint="eastAsia" w:ascii="华文仿宋" w:hAnsi="华文仿宋" w:eastAsia="华文仿宋"/>
          <w:b/>
          <w:sz w:val="32"/>
          <w:szCs w:val="32"/>
          <w:lang w:val="en-US" w:eastAsia="zh-CN"/>
        </w:rPr>
        <w:t xml:space="preserve">                        --</w:t>
      </w:r>
      <w:r>
        <w:rPr>
          <w:rFonts w:hint="eastAsia" w:ascii="华文仿宋" w:hAnsi="华文仿宋" w:eastAsia="华文仿宋"/>
          <w:b/>
          <w:sz w:val="32"/>
          <w:szCs w:val="32"/>
        </w:rPr>
        <w:t>南昌泉岭生活垃圾焚烧发电厂</w:t>
      </w:r>
    </w:p>
    <w:p>
      <w:pPr>
        <w:keepNext w:val="0"/>
        <w:keepLines w:val="0"/>
        <w:pageBreakBefore w:val="0"/>
        <w:widowControl w:val="0"/>
        <w:kinsoku/>
        <w:wordWrap/>
        <w:overflowPunct/>
        <w:topLinePunct w:val="0"/>
        <w:autoSpaceDE/>
        <w:autoSpaceDN/>
        <w:bidi w:val="0"/>
        <w:adjustRightInd/>
        <w:snapToGrid/>
        <w:spacing w:line="120" w:lineRule="auto"/>
        <w:ind w:right="210" w:rightChars="100"/>
        <w:jc w:val="center"/>
        <w:textAlignment w:val="auto"/>
        <w:outlineLvl w:val="9"/>
        <w:rPr>
          <w:rFonts w:hint="eastAsia" w:ascii="华文仿宋" w:hAnsi="华文仿宋" w:eastAsia="华文仿宋"/>
          <w:b/>
          <w:sz w:val="28"/>
          <w:szCs w:val="28"/>
        </w:rPr>
      </w:pPr>
      <w:r>
        <w:rPr>
          <w:rFonts w:hint="eastAsia" w:ascii="华文仿宋" w:hAnsi="华文仿宋" w:eastAsia="华文仿宋"/>
          <w:b/>
          <w:sz w:val="44"/>
          <w:szCs w:val="44"/>
        </w:rPr>
        <w:t>招 聘 简 章</w:t>
      </w:r>
    </w:p>
    <w:p>
      <w:pPr>
        <w:keepNext w:val="0"/>
        <w:keepLines w:val="0"/>
        <w:pageBreakBefore w:val="0"/>
        <w:widowControl w:val="0"/>
        <w:kinsoku/>
        <w:wordWrap/>
        <w:overflowPunct/>
        <w:topLinePunct w:val="0"/>
        <w:bidi w:val="0"/>
        <w:snapToGrid/>
        <w:spacing w:line="600" w:lineRule="exact"/>
        <w:ind w:firstLine="561" w:firstLineChars="200"/>
        <w:textAlignment w:val="auto"/>
        <w:rPr>
          <w:rFonts w:ascii="华文仿宋" w:hAnsi="华文仿宋" w:eastAsia="华文仿宋"/>
          <w:b/>
          <w:sz w:val="28"/>
          <w:szCs w:val="28"/>
        </w:rPr>
      </w:pPr>
      <w:r>
        <w:rPr>
          <w:rFonts w:hint="eastAsia" w:ascii="华文仿宋" w:hAnsi="华文仿宋" w:eastAsia="华文仿宋"/>
          <w:b/>
          <w:sz w:val="28"/>
          <w:szCs w:val="28"/>
        </w:rPr>
        <w:t>一、企业简介</w:t>
      </w:r>
    </w:p>
    <w:p>
      <w:pPr>
        <w:keepNext w:val="0"/>
        <w:keepLines w:val="0"/>
        <w:pageBreakBefore w:val="0"/>
        <w:widowControl w:val="0"/>
        <w:kinsoku/>
        <w:wordWrap/>
        <w:overflowPunct/>
        <w:topLinePunct w:val="0"/>
        <w:bidi w:val="0"/>
        <w:snapToGrid/>
        <w:spacing w:line="600" w:lineRule="exact"/>
        <w:ind w:firstLine="574" w:firstLineChars="205"/>
        <w:textAlignment w:val="auto"/>
        <w:rPr>
          <w:rFonts w:hint="eastAsia" w:ascii="华文仿宋" w:hAnsi="华文仿宋" w:eastAsia="华文仿宋"/>
          <w:sz w:val="28"/>
          <w:szCs w:val="28"/>
        </w:rPr>
      </w:pPr>
      <w:r>
        <w:rPr>
          <w:rFonts w:hint="eastAsia" w:ascii="华文仿宋" w:hAnsi="华文仿宋" w:eastAsia="华文仿宋"/>
          <w:sz w:val="28"/>
          <w:szCs w:val="28"/>
        </w:rPr>
        <w:t>南昌泉岭生活垃圾焚烧发电厂项目于2011年3月由江西省发展和改革委员会批准建设，是南昌市政府以BOT特许经营协议方式引入的重大民生项目，由南昌市城市管理局主管，首创环境南昌首创环保能源有限公司负责建设和特许经营期内的运营，特许经营期为27年。2013年7月项目全面开工建设，2015年1月建设完成进入试运行（并网发电），2016年8月项目通过南昌市环保局环保验收，2016年9月项目通过整体验收并于2016年10月1日正式转入商业运行，成为江西省首个建成投产转商业运营的生活垃圾焚烧发电厂。项目动态总投资</w:t>
      </w:r>
      <w:r>
        <w:rPr>
          <w:rFonts w:hint="eastAsia" w:ascii="华文仿宋" w:hAnsi="华文仿宋" w:eastAsia="华文仿宋"/>
          <w:sz w:val="28"/>
          <w:szCs w:val="28"/>
          <w:lang w:val="en-US" w:eastAsia="zh-CN"/>
        </w:rPr>
        <w:t>约6</w:t>
      </w:r>
      <w:r>
        <w:rPr>
          <w:rFonts w:hint="eastAsia" w:ascii="华文仿宋" w:hAnsi="华文仿宋" w:eastAsia="华文仿宋"/>
          <w:sz w:val="28"/>
          <w:szCs w:val="28"/>
        </w:rPr>
        <w:t>亿元人民币，日处理生活垃圾1200吨，年处理垃圾量4</w:t>
      </w:r>
      <w:r>
        <w:rPr>
          <w:rFonts w:hint="eastAsia" w:ascii="华文仿宋" w:hAnsi="华文仿宋" w:eastAsia="华文仿宋"/>
          <w:sz w:val="28"/>
          <w:szCs w:val="28"/>
          <w:lang w:val="en-US" w:eastAsia="zh-CN"/>
        </w:rPr>
        <w:t>6</w:t>
      </w:r>
      <w:r>
        <w:rPr>
          <w:rFonts w:hint="eastAsia" w:ascii="华文仿宋" w:hAnsi="华文仿宋" w:eastAsia="华文仿宋"/>
          <w:sz w:val="28"/>
          <w:szCs w:val="28"/>
        </w:rPr>
        <w:t>万吨，年上网发电量1.2亿度。</w:t>
      </w:r>
    </w:p>
    <w:p>
      <w:pPr>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华文仿宋" w:hAnsi="华文仿宋" w:eastAsia="华文仿宋"/>
          <w:sz w:val="28"/>
          <w:szCs w:val="28"/>
        </w:rPr>
      </w:pPr>
      <w:r>
        <w:rPr>
          <w:rFonts w:hint="eastAsia" w:ascii="华文仿宋" w:hAnsi="华文仿宋" w:eastAsia="华文仿宋"/>
          <w:sz w:val="28"/>
          <w:szCs w:val="28"/>
        </w:rPr>
        <w:t>2020年4月，南昌市城市管理局与北京首创环境投资有限公司成功签署了南昌泉岭生活垃圾焚烧发电项目二期特许经营权协议。二期项目为江西省及南昌市重点项目，项目位于一期电厂东侧，占地面积150亩，总投资约9.2亿元人民币。建成后将新增生活垃圾处理规模1800吨/天（其中预留600吨/天焚烧线安装位置），新增60MW汽轮发电机组（其中预留20MW安装位置）。二期项目实施后，将使南昌泉岭生活垃圾焚烧处理厂日垃圾处理量总规模扩大到3000吨/日，可处理南昌市60%以上的生活垃圾，为南昌市推进生活垃圾全量焚烧及资源化提供有力保障，为南昌市生态文明建设贡献力量！</w:t>
      </w:r>
    </w:p>
    <w:p>
      <w:pPr>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华文仿宋" w:hAnsi="华文仿宋" w:eastAsia="华文仿宋"/>
          <w:sz w:val="28"/>
          <w:szCs w:val="28"/>
        </w:rPr>
      </w:pPr>
      <w:r>
        <w:rPr>
          <w:rFonts w:hint="eastAsia" w:ascii="华文仿宋" w:hAnsi="华文仿宋" w:eastAsia="华文仿宋"/>
          <w:sz w:val="28"/>
          <w:szCs w:val="28"/>
        </w:rPr>
        <w:t>该项目由首创环境控股有限公司所属</w:t>
      </w:r>
      <w:r>
        <w:rPr>
          <w:rFonts w:hint="eastAsia" w:ascii="华文仿宋" w:hAnsi="华文仿宋" w:eastAsia="华文仿宋"/>
          <w:sz w:val="28"/>
          <w:szCs w:val="28"/>
          <w:lang w:val="en-US" w:eastAsia="zh-CN"/>
        </w:rPr>
        <w:t>南昌首创环保</w:t>
      </w:r>
      <w:r>
        <w:rPr>
          <w:rFonts w:hint="eastAsia" w:ascii="华文仿宋" w:hAnsi="华文仿宋" w:eastAsia="华文仿宋"/>
          <w:sz w:val="28"/>
          <w:szCs w:val="28"/>
        </w:rPr>
        <w:t>能源有限公司负责投资、建设和运营。首创环境控股有限公司是北京首创集团(北京市国资委下属企业)旗下固废领域的产业投资平台，是在香港联交所主板上市的环保公司，是为地方</w:t>
      </w:r>
      <w:r>
        <w:rPr>
          <w:rFonts w:hint="eastAsia" w:ascii="华文仿宋" w:hAnsi="华文仿宋" w:eastAsia="华文仿宋"/>
          <w:kern w:val="0"/>
          <w:sz w:val="28"/>
          <w:szCs w:val="28"/>
        </w:rPr>
        <w:t>政府提供一揽子环境改善方案的综合环境服务商。业务主要涉及生活垃圾、餐厨垃圾、建筑垃圾、电子废弃物、汽车拆解、危险废弃物等固废处理领域和土壤修复领域。</w:t>
      </w:r>
    </w:p>
    <w:p>
      <w:pPr>
        <w:keepNext w:val="0"/>
        <w:keepLines w:val="0"/>
        <w:pageBreakBefore w:val="0"/>
        <w:widowControl w:val="0"/>
        <w:kinsoku/>
        <w:wordWrap/>
        <w:overflowPunct/>
        <w:topLinePunct w:val="0"/>
        <w:bidi w:val="0"/>
        <w:snapToGrid/>
        <w:spacing w:line="600" w:lineRule="exact"/>
        <w:ind w:firstLine="574" w:firstLineChars="205"/>
        <w:textAlignment w:val="auto"/>
        <w:rPr>
          <w:rFonts w:ascii="华文仿宋" w:hAnsi="华文仿宋" w:eastAsia="华文仿宋"/>
          <w:sz w:val="28"/>
          <w:szCs w:val="28"/>
        </w:rPr>
      </w:pPr>
      <w:r>
        <w:rPr>
          <w:rFonts w:hint="eastAsia" w:ascii="华文仿宋" w:hAnsi="华文仿宋" w:eastAsia="华文仿宋"/>
          <w:sz w:val="28"/>
          <w:szCs w:val="28"/>
        </w:rPr>
        <w:t>作为具有高度社会责任感的企业，我们将为员工提供完善的薪酬福利待遇和宽广的职业上升平台，热忱欢迎广大有志于投身环保事业的毕业生加入公司。</w:t>
      </w:r>
    </w:p>
    <w:p>
      <w:pPr>
        <w:ind w:firstLine="575" w:firstLineChars="205"/>
        <w:rPr>
          <w:rFonts w:ascii="华文仿宋" w:hAnsi="华文仿宋" w:eastAsia="华文仿宋"/>
          <w:sz w:val="28"/>
          <w:szCs w:val="28"/>
        </w:rPr>
      </w:pPr>
      <w:r>
        <w:rPr>
          <w:rFonts w:hint="eastAsia" w:ascii="华文仿宋" w:hAnsi="华文仿宋" w:eastAsia="华文仿宋"/>
          <w:b/>
          <w:sz w:val="28"/>
          <w:szCs w:val="28"/>
          <w:lang w:eastAsia="zh-CN"/>
        </w:rPr>
        <w:t>二、企业性质：国有企业</w:t>
      </w:r>
    </w:p>
    <w:p>
      <w:pPr>
        <w:rPr>
          <w:rFonts w:ascii="华文仿宋" w:hAnsi="华文仿宋" w:eastAsia="华文仿宋"/>
          <w:b/>
          <w:sz w:val="28"/>
          <w:szCs w:val="28"/>
        </w:rPr>
      </w:pPr>
      <w:r>
        <w:rPr>
          <w:rFonts w:hint="eastAsia"/>
        </w:rPr>
        <w:t xml:space="preserve">    </w:t>
      </w:r>
      <w:r>
        <w:rPr>
          <w:rFonts w:hint="eastAsia" w:ascii="华文仿宋" w:hAnsi="华文仿宋" w:eastAsia="华文仿宋"/>
          <w:b/>
          <w:sz w:val="28"/>
          <w:szCs w:val="28"/>
        </w:rPr>
        <w:t xml:space="preserve"> </w:t>
      </w:r>
      <w:r>
        <w:rPr>
          <w:rFonts w:hint="eastAsia" w:ascii="华文仿宋" w:hAnsi="华文仿宋" w:eastAsia="华文仿宋"/>
          <w:b/>
          <w:sz w:val="28"/>
          <w:szCs w:val="28"/>
          <w:lang w:eastAsia="zh-CN"/>
        </w:rPr>
        <w:t>三</w:t>
      </w:r>
      <w:r>
        <w:rPr>
          <w:rFonts w:hint="eastAsia" w:ascii="华文仿宋" w:hAnsi="华文仿宋" w:eastAsia="华文仿宋"/>
          <w:b/>
          <w:sz w:val="28"/>
          <w:szCs w:val="28"/>
        </w:rPr>
        <w:t>、招聘岗位</w:t>
      </w:r>
    </w:p>
    <w:tbl>
      <w:tblPr>
        <w:tblStyle w:val="5"/>
        <w:tblW w:w="935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0"/>
        <w:gridCol w:w="1952"/>
        <w:gridCol w:w="1303"/>
        <w:gridCol w:w="2522"/>
        <w:gridCol w:w="1612"/>
        <w:gridCol w:w="114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6" w:hRule="atLeast"/>
          <w:jc w:val="center"/>
        </w:trPr>
        <w:tc>
          <w:tcPr>
            <w:tcW w:w="82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序号</w:t>
            </w:r>
          </w:p>
        </w:tc>
        <w:tc>
          <w:tcPr>
            <w:tcW w:w="1952"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岗位名称</w:t>
            </w:r>
          </w:p>
        </w:tc>
        <w:tc>
          <w:tcPr>
            <w:tcW w:w="1303"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需求人数</w:t>
            </w:r>
          </w:p>
        </w:tc>
        <w:tc>
          <w:tcPr>
            <w:tcW w:w="2522"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专业要求</w:t>
            </w:r>
          </w:p>
        </w:tc>
        <w:tc>
          <w:tcPr>
            <w:tcW w:w="1612"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其他要求</w:t>
            </w:r>
          </w:p>
        </w:tc>
        <w:tc>
          <w:tcPr>
            <w:tcW w:w="114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820" w:type="dxa"/>
            <w:vAlign w:val="center"/>
          </w:tcPr>
          <w:p>
            <w:pPr>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rPr>
              <w:t>1</w:t>
            </w:r>
          </w:p>
        </w:tc>
        <w:tc>
          <w:tcPr>
            <w:tcW w:w="1952" w:type="dxa"/>
            <w:vAlign w:val="center"/>
          </w:tcPr>
          <w:p>
            <w:pPr>
              <w:jc w:val="center"/>
              <w:rPr>
                <w:rFonts w:hint="eastAsia" w:ascii="华文仿宋" w:hAnsi="华文仿宋" w:eastAsia="华文仿宋"/>
                <w:sz w:val="28"/>
                <w:szCs w:val="28"/>
                <w:lang w:eastAsia="zh-CN"/>
              </w:rPr>
            </w:pPr>
            <w:r>
              <w:rPr>
                <w:rFonts w:hint="eastAsia" w:ascii="华文仿宋" w:hAnsi="华文仿宋" w:eastAsia="华文仿宋"/>
                <w:sz w:val="28"/>
                <w:szCs w:val="28"/>
                <w:lang w:eastAsia="zh-CN"/>
              </w:rPr>
              <w:t>巡检</w:t>
            </w:r>
          </w:p>
        </w:tc>
        <w:tc>
          <w:tcPr>
            <w:tcW w:w="1303" w:type="dxa"/>
            <w:vAlign w:val="center"/>
          </w:tcPr>
          <w:p>
            <w:pPr>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2</w:t>
            </w:r>
          </w:p>
        </w:tc>
        <w:tc>
          <w:tcPr>
            <w:tcW w:w="252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rPr>
              <w:t>电力相关专业</w:t>
            </w:r>
          </w:p>
        </w:tc>
        <w:tc>
          <w:tcPr>
            <w:tcW w:w="161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rPr>
              <w:t>不限</w:t>
            </w:r>
          </w:p>
        </w:tc>
        <w:tc>
          <w:tcPr>
            <w:tcW w:w="1148" w:type="dxa"/>
            <w:vAlign w:val="center"/>
          </w:tcPr>
          <w:p>
            <w:pPr>
              <w:jc w:val="both"/>
              <w:rPr>
                <w:rFonts w:hint="eastAsia" w:ascii="华文仿宋" w:hAnsi="华文仿宋" w:eastAsia="华文仿宋"/>
                <w:sz w:val="28"/>
                <w:szCs w:val="28"/>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820" w:type="dxa"/>
            <w:vAlign w:val="center"/>
          </w:tcPr>
          <w:p>
            <w:pPr>
              <w:jc w:val="center"/>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2</w:t>
            </w:r>
          </w:p>
        </w:tc>
        <w:tc>
          <w:tcPr>
            <w:tcW w:w="1952" w:type="dxa"/>
            <w:vAlign w:val="center"/>
          </w:tcPr>
          <w:p>
            <w:pPr>
              <w:jc w:val="center"/>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水处理</w:t>
            </w:r>
            <w:r>
              <w:rPr>
                <w:rFonts w:hint="eastAsia" w:ascii="华文仿宋" w:hAnsi="华文仿宋" w:eastAsia="华文仿宋"/>
                <w:sz w:val="28"/>
                <w:szCs w:val="28"/>
                <w:lang w:eastAsia="zh-CN"/>
              </w:rPr>
              <w:t>值班员</w:t>
            </w:r>
          </w:p>
        </w:tc>
        <w:tc>
          <w:tcPr>
            <w:tcW w:w="1303" w:type="dxa"/>
            <w:vAlign w:val="center"/>
          </w:tcPr>
          <w:p>
            <w:pPr>
              <w:jc w:val="center"/>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2</w:t>
            </w:r>
          </w:p>
        </w:tc>
        <w:tc>
          <w:tcPr>
            <w:tcW w:w="252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lang w:val="en-US" w:eastAsia="zh-CN"/>
              </w:rPr>
              <w:t>电厂化学</w:t>
            </w:r>
            <w:r>
              <w:rPr>
                <w:rFonts w:hint="eastAsia" w:ascii="华文仿宋" w:hAnsi="华文仿宋" w:eastAsia="华文仿宋"/>
                <w:sz w:val="28"/>
                <w:szCs w:val="28"/>
              </w:rPr>
              <w:t>相关专业</w:t>
            </w:r>
          </w:p>
        </w:tc>
        <w:tc>
          <w:tcPr>
            <w:tcW w:w="161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lang w:eastAsia="zh-CN"/>
              </w:rPr>
              <w:t>不限</w:t>
            </w:r>
          </w:p>
        </w:tc>
        <w:tc>
          <w:tcPr>
            <w:tcW w:w="1148" w:type="dxa"/>
            <w:vAlign w:val="center"/>
          </w:tcPr>
          <w:p>
            <w:pPr>
              <w:jc w:val="center"/>
              <w:rPr>
                <w:rFonts w:hint="eastAsia" w:ascii="华文仿宋" w:hAnsi="华文仿宋" w:eastAsia="华文仿宋"/>
                <w:sz w:val="28"/>
                <w:szCs w:val="28"/>
                <w:lang w:eastAsia="zh-CN"/>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73"/>
        <w:textAlignment w:val="auto"/>
        <w:rPr>
          <w:rFonts w:hint="eastAsia" w:ascii="华文仿宋" w:hAnsi="华文仿宋" w:eastAsia="华文仿宋"/>
          <w:b/>
          <w:sz w:val="28"/>
          <w:szCs w:val="28"/>
        </w:rPr>
      </w:pPr>
      <w:r>
        <w:rPr>
          <w:rFonts w:hint="eastAsia" w:ascii="华文仿宋" w:hAnsi="华文仿宋" w:eastAsia="华文仿宋"/>
          <w:b/>
          <w:sz w:val="28"/>
          <w:szCs w:val="28"/>
          <w:lang w:eastAsia="zh-CN"/>
        </w:rPr>
        <w:t>电力相关专业：热能动力设备与应用、火电厂集控运行、新能源应用技术、电气自动化技术、电力系统自动化技术、</w:t>
      </w:r>
      <w:r>
        <w:rPr>
          <w:rFonts w:hint="eastAsia" w:ascii="华文仿宋" w:hAnsi="华文仿宋" w:eastAsia="华文仿宋"/>
          <w:b/>
          <w:sz w:val="28"/>
          <w:szCs w:val="28"/>
          <w:lang w:val="en-US" w:eastAsia="zh-CN"/>
        </w:rPr>
        <w:t>电厂化学、机电一体化、</w:t>
      </w:r>
      <w:r>
        <w:rPr>
          <w:rFonts w:hint="eastAsia" w:ascii="华文仿宋" w:hAnsi="华文仿宋" w:eastAsia="华文仿宋"/>
          <w:b/>
          <w:sz w:val="28"/>
          <w:szCs w:val="28"/>
          <w:lang w:eastAsia="zh-CN"/>
        </w:rPr>
        <w:t>电力系统继电保护与自动化、</w:t>
      </w:r>
      <w:r>
        <w:rPr>
          <w:rFonts w:hint="eastAsia" w:ascii="华文仿宋" w:hAnsi="华文仿宋" w:eastAsia="华文仿宋"/>
          <w:b/>
          <w:sz w:val="28"/>
          <w:szCs w:val="28"/>
          <w:lang w:val="en-US" w:eastAsia="zh-CN"/>
        </w:rPr>
        <w:t>电厂设备运行与维护、</w:t>
      </w:r>
      <w:r>
        <w:rPr>
          <w:rFonts w:hint="eastAsia" w:ascii="华文仿宋" w:hAnsi="华文仿宋" w:eastAsia="华文仿宋"/>
          <w:b/>
          <w:sz w:val="28"/>
          <w:szCs w:val="28"/>
          <w:lang w:eastAsia="zh-CN"/>
        </w:rPr>
        <w:t>发电厂及电力系统专业</w:t>
      </w:r>
      <w:r>
        <w:rPr>
          <w:rFonts w:hint="eastAsia" w:ascii="华文仿宋" w:hAnsi="华文仿宋" w:eastAsia="华文仿宋"/>
          <w:b/>
          <w:sz w:val="28"/>
          <w:szCs w:val="28"/>
          <w:lang w:val="en-US" w:eastAsia="zh-CN"/>
        </w:rPr>
        <w:t>等</w:t>
      </w:r>
      <w:r>
        <w:rPr>
          <w:rFonts w:hint="eastAsia" w:ascii="华文仿宋" w:hAnsi="华文仿宋" w:eastAsia="华文仿宋"/>
          <w:b/>
          <w:sz w:val="28"/>
          <w:szCs w:val="28"/>
          <w:lang w:eastAsia="zh-CN"/>
        </w:rPr>
        <w:t>。</w:t>
      </w:r>
    </w:p>
    <w:p>
      <w:pPr>
        <w:keepNext w:val="0"/>
        <w:keepLines w:val="0"/>
        <w:pageBreakBefore w:val="0"/>
        <w:kinsoku/>
        <w:wordWrap/>
        <w:overflowPunct/>
        <w:topLinePunct w:val="0"/>
        <w:autoSpaceDE/>
        <w:autoSpaceDN/>
        <w:bidi w:val="0"/>
        <w:adjustRightInd/>
        <w:snapToGrid/>
        <w:spacing w:line="600" w:lineRule="exact"/>
        <w:ind w:firstLine="570"/>
        <w:textAlignment w:val="auto"/>
        <w:rPr>
          <w:rFonts w:ascii="华文仿宋" w:hAnsi="华文仿宋" w:eastAsia="华文仿宋"/>
          <w:b/>
          <w:sz w:val="28"/>
          <w:szCs w:val="28"/>
        </w:rPr>
      </w:pPr>
      <w:r>
        <w:rPr>
          <w:rFonts w:hint="eastAsia" w:ascii="华文仿宋" w:hAnsi="华文仿宋" w:eastAsia="华文仿宋"/>
          <w:b/>
          <w:sz w:val="28"/>
          <w:szCs w:val="28"/>
        </w:rPr>
        <w:t>三、招聘基本要求</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48" w:firstLineChars="196"/>
        <w:textAlignment w:val="auto"/>
        <w:rPr>
          <w:rFonts w:hint="eastAsia" w:ascii="华文仿宋" w:hAnsi="华文仿宋" w:eastAsia="华文仿宋"/>
          <w:sz w:val="28"/>
          <w:szCs w:val="28"/>
        </w:rPr>
      </w:pPr>
      <w:r>
        <w:rPr>
          <w:rFonts w:hint="eastAsia" w:ascii="华文仿宋" w:hAnsi="华文仿宋" w:eastAsia="华文仿宋"/>
          <w:sz w:val="28"/>
          <w:szCs w:val="28"/>
        </w:rPr>
        <w:t>1、具有正确的人生观和价值观，具有团队协作精神和积极向上的潜质。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60" w:firstLineChars="200"/>
        <w:textAlignment w:val="auto"/>
        <w:rPr>
          <w:rFonts w:ascii="华文仿宋" w:hAnsi="华文仿宋" w:eastAsia="华文仿宋"/>
          <w:sz w:val="28"/>
          <w:szCs w:val="28"/>
        </w:rPr>
      </w:pPr>
      <w:r>
        <w:rPr>
          <w:rFonts w:hint="eastAsia" w:ascii="华文仿宋" w:hAnsi="华文仿宋" w:eastAsia="华文仿宋"/>
          <w:sz w:val="28"/>
          <w:szCs w:val="28"/>
        </w:rPr>
        <w:t>2、愿意加入环保能源行业，致力于从事生产运行、技术设备工作。</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60" w:firstLineChars="200"/>
        <w:textAlignment w:val="auto"/>
        <w:rPr>
          <w:rFonts w:ascii="华文仿宋" w:hAnsi="华文仿宋" w:eastAsia="华文仿宋"/>
          <w:sz w:val="28"/>
          <w:szCs w:val="28"/>
        </w:rPr>
      </w:pPr>
      <w:r>
        <w:rPr>
          <w:rFonts w:hint="eastAsia" w:ascii="华文仿宋" w:hAnsi="华文仿宋" w:eastAsia="华文仿宋"/>
          <w:sz w:val="28"/>
          <w:szCs w:val="28"/>
        </w:rPr>
        <w:t>3、有较强的学习能力和执行力。</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60" w:firstLineChars="200"/>
        <w:textAlignment w:val="auto"/>
        <w:rPr>
          <w:rFonts w:ascii="华文仿宋" w:hAnsi="华文仿宋" w:eastAsia="华文仿宋"/>
          <w:sz w:val="28"/>
          <w:szCs w:val="28"/>
        </w:rPr>
      </w:pPr>
      <w:r>
        <w:rPr>
          <w:rFonts w:hint="eastAsia" w:ascii="华文仿宋" w:hAnsi="华文仿宋" w:eastAsia="华文仿宋"/>
          <w:sz w:val="28"/>
          <w:szCs w:val="28"/>
        </w:rPr>
        <w:t>4、身体健康、性格坚韧、吃苦耐劳、能适应倒班。</w:t>
      </w:r>
    </w:p>
    <w:p>
      <w:pPr>
        <w:keepNext w:val="0"/>
        <w:keepLines w:val="0"/>
        <w:pageBreakBefore w:val="0"/>
        <w:kinsoku/>
        <w:wordWrap/>
        <w:overflowPunct/>
        <w:topLinePunct w:val="0"/>
        <w:autoSpaceDE/>
        <w:autoSpaceDN/>
        <w:bidi w:val="0"/>
        <w:adjustRightInd/>
        <w:snapToGrid/>
        <w:spacing w:line="600" w:lineRule="exact"/>
        <w:ind w:left="0" w:leftChars="0" w:firstLine="465" w:firstLineChars="0"/>
        <w:textAlignment w:val="auto"/>
        <w:rPr>
          <w:rFonts w:hint="eastAsia" w:ascii="华文仿宋" w:hAnsi="华文仿宋" w:eastAsia="华文仿宋"/>
          <w:b/>
          <w:sz w:val="28"/>
          <w:szCs w:val="28"/>
        </w:rPr>
      </w:pPr>
      <w:r>
        <w:rPr>
          <w:rFonts w:hint="eastAsia" w:ascii="华文仿宋" w:hAnsi="华文仿宋" w:eastAsia="华文仿宋"/>
          <w:b/>
          <w:sz w:val="28"/>
          <w:szCs w:val="28"/>
        </w:rPr>
        <w:t>四、薪酬福利</w:t>
      </w:r>
    </w:p>
    <w:p>
      <w:pPr>
        <w:keepNext w:val="0"/>
        <w:keepLines w:val="0"/>
        <w:pageBreakBefore w:val="0"/>
        <w:numPr>
          <w:ilvl w:val="0"/>
          <w:numId w:val="0"/>
        </w:numPr>
        <w:kinsoku/>
        <w:wordWrap/>
        <w:overflowPunct/>
        <w:topLinePunct w:val="0"/>
        <w:autoSpaceDE/>
        <w:autoSpaceDN/>
        <w:bidi w:val="0"/>
        <w:adjustRightInd/>
        <w:snapToGrid/>
        <w:spacing w:line="600" w:lineRule="exact"/>
        <w:ind w:left="525" w:leftChars="250" w:firstLine="0" w:firstLineChars="0"/>
        <w:textAlignment w:val="auto"/>
        <w:rPr>
          <w:rFonts w:hint="default"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工作地点: 江西南昌</w:t>
      </w:r>
    </w:p>
    <w:p>
      <w:pPr>
        <w:keepNext w:val="0"/>
        <w:keepLines w:val="0"/>
        <w:pageBreakBefore w:val="0"/>
        <w:numPr>
          <w:ilvl w:val="0"/>
          <w:numId w:val="0"/>
        </w:numPr>
        <w:kinsoku/>
        <w:wordWrap/>
        <w:overflowPunct/>
        <w:topLinePunct w:val="0"/>
        <w:autoSpaceDE/>
        <w:autoSpaceDN/>
        <w:bidi w:val="0"/>
        <w:adjustRightInd/>
        <w:snapToGrid/>
        <w:spacing w:line="600" w:lineRule="exact"/>
        <w:ind w:left="525" w:leftChars="250" w:firstLine="0" w:firstLineChars="0"/>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实习期薪酬：实习工资+夜班津贴</w:t>
      </w:r>
    </w:p>
    <w:p>
      <w:pPr>
        <w:keepNext w:val="0"/>
        <w:keepLines w:val="0"/>
        <w:pageBreakBefore w:val="0"/>
        <w:numPr>
          <w:ilvl w:val="0"/>
          <w:numId w:val="0"/>
        </w:numPr>
        <w:kinsoku/>
        <w:wordWrap/>
        <w:overflowPunct/>
        <w:topLinePunct w:val="0"/>
        <w:autoSpaceDE/>
        <w:autoSpaceDN/>
        <w:bidi w:val="0"/>
        <w:adjustRightInd/>
        <w:snapToGrid/>
        <w:spacing w:line="600" w:lineRule="exact"/>
        <w:ind w:left="481" w:leftChars="229" w:firstLine="0" w:firstLineChars="0"/>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 xml:space="preserve">转正后薪酬： 基本工资+绩效工资+年终奖励 </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481" w:firstLineChars="172"/>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福利待遇: 五险一金（实习除外）、高温补贴、通勤班车、年度体检（实习除外）、工会福利（实习除外）、商业保险、带薪年休假（实习除外）等</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481" w:firstLineChars="172"/>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生活保障: 包吃包住，覆盖无线网络，提供24小时热水和冷暖空调、花园环境</w:t>
      </w:r>
    </w:p>
    <w:p>
      <w:pPr>
        <w:keepNext w:val="0"/>
        <w:keepLines w:val="0"/>
        <w:pageBreakBefore w:val="0"/>
        <w:numPr>
          <w:ilvl w:val="0"/>
          <w:numId w:val="0"/>
        </w:numPr>
        <w:kinsoku/>
        <w:wordWrap/>
        <w:overflowPunct/>
        <w:topLinePunct w:val="0"/>
        <w:autoSpaceDE/>
        <w:autoSpaceDN/>
        <w:bidi w:val="0"/>
        <w:adjustRightInd/>
        <w:snapToGrid/>
        <w:spacing w:line="600" w:lineRule="exact"/>
        <w:ind w:left="481" w:leftChars="229" w:firstLine="0" w:firstLineChars="0"/>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 xml:space="preserve">职业发展: 国企平台、就近分配、稳定发展、专业培训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200" w:firstLine="0" w:firstLineChars="0"/>
        <w:textAlignment w:val="auto"/>
        <w:rPr>
          <w:rFonts w:ascii="华文仿宋" w:hAnsi="华文仿宋" w:eastAsia="华文仿宋"/>
          <w:b/>
          <w:sz w:val="28"/>
          <w:szCs w:val="28"/>
        </w:rPr>
      </w:pPr>
      <w:r>
        <w:rPr>
          <w:rFonts w:hint="eastAsia" w:ascii="华文仿宋" w:hAnsi="华文仿宋" w:eastAsia="华文仿宋"/>
          <w:b/>
          <w:sz w:val="28"/>
          <w:szCs w:val="28"/>
        </w:rPr>
        <w:t>五、联系方式</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479" w:firstLineChars="171"/>
        <w:textAlignment w:val="auto"/>
        <w:rPr>
          <w:rFonts w:ascii="华文仿宋" w:hAnsi="华文仿宋" w:eastAsia="华文仿宋"/>
          <w:sz w:val="28"/>
          <w:szCs w:val="28"/>
        </w:rPr>
      </w:pPr>
      <w:r>
        <w:rPr>
          <w:rFonts w:hint="eastAsia" w:ascii="华文仿宋" w:hAnsi="华文仿宋" w:eastAsia="华文仿宋"/>
          <w:b/>
          <w:bCs/>
          <w:sz w:val="28"/>
          <w:szCs w:val="28"/>
        </w:rPr>
        <w:t>厂区地址：南昌市进贤县泉岭乡</w:t>
      </w:r>
      <w:r>
        <w:rPr>
          <w:rFonts w:hint="eastAsia" w:ascii="华文仿宋" w:hAnsi="华文仿宋" w:eastAsia="华文仿宋"/>
          <w:b/>
          <w:bCs/>
          <w:sz w:val="28"/>
          <w:szCs w:val="28"/>
          <w:lang w:val="en-US" w:eastAsia="zh-CN"/>
        </w:rPr>
        <w:t>南昌泉岭生活垃圾焚烧发电厂</w:t>
      </w:r>
      <w:r>
        <w:rPr>
          <w:rFonts w:hint="eastAsia" w:ascii="华文仿宋" w:hAnsi="华文仿宋" w:eastAsia="华文仿宋"/>
          <w:sz w:val="28"/>
          <w:szCs w:val="28"/>
        </w:rPr>
        <w:t>(近320国道</w:t>
      </w:r>
      <w:r>
        <w:rPr>
          <w:rFonts w:hint="eastAsia" w:ascii="华文仿宋" w:hAnsi="华文仿宋" w:eastAsia="华文仿宋"/>
          <w:sz w:val="28"/>
          <w:szCs w:val="28"/>
          <w:lang w:eastAsia="zh-CN"/>
        </w:rPr>
        <w:t>，梁家渡大桥</w:t>
      </w:r>
      <w:r>
        <w:rPr>
          <w:rFonts w:hint="eastAsia" w:ascii="华文仿宋" w:hAnsi="华文仿宋" w:eastAsia="华文仿宋"/>
          <w:sz w:val="28"/>
          <w:szCs w:val="28"/>
          <w:lang w:val="en-US" w:eastAsia="zh-CN"/>
        </w:rPr>
        <w:t>旁</w:t>
      </w:r>
      <w:r>
        <w:rPr>
          <w:rFonts w:hint="eastAsia" w:ascii="华文仿宋" w:hAnsi="华文仿宋" w:eastAsia="华文仿宋"/>
          <w:sz w:val="28"/>
          <w:szCs w:val="28"/>
        </w:rPr>
        <w:t>)</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ascii="华文仿宋" w:hAnsi="华文仿宋" w:eastAsia="华文仿宋"/>
          <w:sz w:val="28"/>
          <w:szCs w:val="28"/>
        </w:rPr>
      </w:pPr>
      <w:r>
        <w:rPr>
          <w:rFonts w:hint="eastAsia" w:ascii="华文仿宋" w:hAnsi="华文仿宋" w:eastAsia="华文仿宋"/>
          <w:sz w:val="28"/>
          <w:szCs w:val="28"/>
        </w:rPr>
        <w:t>联系人：</w:t>
      </w:r>
      <w:r>
        <w:rPr>
          <w:rFonts w:hint="eastAsia" w:ascii="华文仿宋" w:hAnsi="华文仿宋" w:eastAsia="华文仿宋"/>
          <w:sz w:val="28"/>
          <w:szCs w:val="28"/>
          <w:lang w:val="en-US" w:eastAsia="zh-CN"/>
        </w:rPr>
        <w:t>李</w:t>
      </w:r>
      <w:r>
        <w:rPr>
          <w:rFonts w:hint="eastAsia" w:ascii="华文仿宋" w:hAnsi="华文仿宋" w:eastAsia="华文仿宋"/>
          <w:sz w:val="28"/>
          <w:szCs w:val="28"/>
        </w:rPr>
        <w:t>女士</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ascii="华文仿宋" w:hAnsi="华文仿宋" w:eastAsia="华文仿宋"/>
          <w:sz w:val="30"/>
          <w:szCs w:val="30"/>
        </w:rPr>
      </w:pPr>
      <w:r>
        <w:rPr>
          <w:rFonts w:hint="eastAsia" w:ascii="华文仿宋" w:hAnsi="华文仿宋" w:eastAsia="华文仿宋"/>
          <w:sz w:val="28"/>
          <w:szCs w:val="28"/>
        </w:rPr>
        <w:t>简历投递：</w:t>
      </w:r>
      <w:r>
        <w:fldChar w:fldCharType="begin"/>
      </w:r>
      <w:r>
        <w:instrText xml:space="preserve"> HYPERLINK "mailto:zhaisx@cehl.hk" </w:instrText>
      </w:r>
      <w:r>
        <w:fldChar w:fldCharType="separate"/>
      </w:r>
      <w:r>
        <w:rPr>
          <w:rStyle w:val="8"/>
          <w:rFonts w:hint="eastAsia" w:ascii="华文仿宋" w:hAnsi="华文仿宋" w:eastAsia="华文仿宋"/>
          <w:sz w:val="28"/>
          <w:szCs w:val="28"/>
          <w:lang w:val="en-US" w:eastAsia="zh-CN"/>
        </w:rPr>
        <w:t>lilz</w:t>
      </w:r>
      <w:bookmarkStart w:id="0" w:name="_GoBack"/>
      <w:bookmarkEnd w:id="0"/>
      <w:r>
        <w:rPr>
          <w:rStyle w:val="8"/>
          <w:rFonts w:hint="eastAsia" w:ascii="华文仿宋" w:hAnsi="华文仿宋" w:eastAsia="华文仿宋"/>
          <w:sz w:val="28"/>
          <w:szCs w:val="28"/>
        </w:rPr>
        <w:t>@cehl.hk</w:t>
      </w:r>
      <w:r>
        <w:rPr>
          <w:rStyle w:val="8"/>
          <w:rFonts w:hint="eastAsia" w:ascii="华文仿宋" w:hAnsi="华文仿宋" w:eastAsia="华文仿宋"/>
          <w:sz w:val="28"/>
          <w:szCs w:val="28"/>
        </w:rPr>
        <w:fldChar w:fldCharType="end"/>
      </w:r>
    </w:p>
    <w:sectPr>
      <w:footerReference r:id="rId4" w:type="default"/>
      <w:pgSz w:w="11906" w:h="16838"/>
      <w:pgMar w:top="1417" w:right="1514" w:bottom="1134" w:left="1627" w:header="1304"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right"/>
      <w:rPr>
        <w:rFonts w:hint="eastAsia" w:ascii="仿宋" w:hAnsi="仿宋" w:eastAsia="仿宋" w:cs="仿宋"/>
        <w:b/>
        <w:bCs/>
        <w:color w:val="002060"/>
        <w:spacing w:val="11"/>
        <w:sz w:val="18"/>
        <w:szCs w:val="24"/>
        <w:lang w:eastAsia="zh-CN"/>
      </w:rPr>
    </w:pPr>
    <w:r>
      <w:rPr>
        <w:color w:val="002060"/>
        <w:sz w:val="16"/>
        <w:szCs w:val="22"/>
      </w:rPr>
      <w:drawing>
        <wp:anchor distT="0" distB="0" distL="114300" distR="114300" simplePos="0" relativeHeight="251659264" behindDoc="0" locked="0" layoutInCell="1" allowOverlap="1">
          <wp:simplePos x="0" y="0"/>
          <wp:positionH relativeFrom="column">
            <wp:posOffset>116840</wp:posOffset>
          </wp:positionH>
          <wp:positionV relativeFrom="page">
            <wp:posOffset>854075</wp:posOffset>
          </wp:positionV>
          <wp:extent cx="1838960" cy="353695"/>
          <wp:effectExtent l="0" t="0" r="8890" b="8255"/>
          <wp:wrapSquare wrapText="bothSides"/>
          <wp:docPr id="4966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49" name="图片 2"/>
                  <pic:cNvPicPr>
                    <a:picLocks noChangeAspect="1"/>
                  </pic:cNvPicPr>
                </pic:nvPicPr>
                <pic:blipFill>
                  <a:blip r:embed="rId1"/>
                  <a:stretch>
                    <a:fillRect/>
                  </a:stretch>
                </pic:blipFill>
                <pic:spPr>
                  <a:xfrm>
                    <a:off x="0" y="0"/>
                    <a:ext cx="1838960" cy="353695"/>
                  </a:xfrm>
                  <a:prstGeom prst="rect">
                    <a:avLst/>
                  </a:prstGeom>
                  <a:noFill/>
                  <a:ln w="9525">
                    <a:noFill/>
                  </a:ln>
                </pic:spPr>
              </pic:pic>
            </a:graphicData>
          </a:graphic>
        </wp:anchor>
      </w:drawing>
    </w:r>
    <w:r>
      <w:rPr>
        <w:rFonts w:hint="eastAsia"/>
        <w:lang w:val="en-US" w:eastAsia="zh-CN"/>
      </w:rPr>
      <w:t xml:space="preserve">   </w:t>
    </w:r>
    <w:r>
      <w:rPr>
        <w:rFonts w:hint="eastAsia" w:ascii="仿宋" w:hAnsi="仿宋" w:eastAsia="仿宋" w:cs="仿宋"/>
        <w:b/>
        <w:bCs/>
        <w:color w:val="002060"/>
        <w:spacing w:val="11"/>
        <w:sz w:val="18"/>
        <w:szCs w:val="24"/>
        <w:lang w:eastAsia="zh-CN"/>
      </w:rPr>
      <w:t>南昌首创环保能源有限公司</w:t>
    </w:r>
  </w:p>
  <w:p>
    <w:pPr>
      <w:pStyle w:val="3"/>
      <w:pBdr>
        <w:bottom w:val="thinThickSmallGap" w:color="auto" w:sz="12" w:space="1"/>
      </w:pBdr>
      <w:jc w:val="center"/>
      <w:rPr>
        <w:rFonts w:hint="eastAsia" w:ascii="仿宋" w:hAnsi="仿宋" w:eastAsia="仿宋" w:cs="仿宋"/>
        <w:b/>
        <w:bCs/>
        <w:color w:val="auto"/>
        <w:spacing w:val="6"/>
        <w:sz w:val="21"/>
        <w:szCs w:val="32"/>
        <w:lang w:eastAsia="zh-CN"/>
      </w:rPr>
    </w:pPr>
    <w:r>
      <w:rPr>
        <w:rFonts w:hint="eastAsia" w:ascii="仿宋" w:hAnsi="仿宋" w:eastAsia="仿宋" w:cs="仿宋"/>
        <w:b/>
        <w:bCs/>
        <w:color w:val="002060"/>
        <w:spacing w:val="0"/>
        <w:sz w:val="18"/>
        <w:szCs w:val="24"/>
        <w:lang w:val="en-US" w:eastAsia="zh-CN"/>
      </w:rPr>
      <w:t xml:space="preserve">                                                                      </w:t>
    </w:r>
    <w:r>
      <w:rPr>
        <w:rFonts w:hint="eastAsia" w:ascii="仿宋" w:hAnsi="仿宋" w:eastAsia="仿宋" w:cs="仿宋"/>
        <w:b/>
        <w:bCs/>
        <w:color w:val="002060"/>
        <w:spacing w:val="0"/>
        <w:sz w:val="18"/>
        <w:szCs w:val="24"/>
        <w:lang w:eastAsia="zh-CN"/>
      </w:rPr>
      <w:t>南昌泉岭生活垃圾焚烧发电厂</w:t>
    </w:r>
  </w:p>
  <w:p>
    <w:pPr>
      <w:pStyle w:val="3"/>
      <w:pBdr>
        <w:bottom w:val="none" w:color="auto" w:sz="0" w:space="1"/>
      </w:pBdr>
      <w:jc w:val="both"/>
      <w:rPr>
        <w:rFonts w:hint="eastAsia" w:eastAsiaTheme="minor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c1OWNjNjk1ZTU2M2E4NDM3ODlhNTMxOTA0MDkzMjYifQ=="/>
  </w:docVars>
  <w:rsids>
    <w:rsidRoot w:val="002F0D3E"/>
    <w:rsid w:val="00005897"/>
    <w:rsid w:val="00020A29"/>
    <w:rsid w:val="00032159"/>
    <w:rsid w:val="000B3251"/>
    <w:rsid w:val="001C4FEA"/>
    <w:rsid w:val="00206C4A"/>
    <w:rsid w:val="00223046"/>
    <w:rsid w:val="002F0D3E"/>
    <w:rsid w:val="00341114"/>
    <w:rsid w:val="00360EF5"/>
    <w:rsid w:val="003823EF"/>
    <w:rsid w:val="0042682F"/>
    <w:rsid w:val="005255B2"/>
    <w:rsid w:val="0056724B"/>
    <w:rsid w:val="00576F4E"/>
    <w:rsid w:val="005A3260"/>
    <w:rsid w:val="00605256"/>
    <w:rsid w:val="006615D3"/>
    <w:rsid w:val="00676A3C"/>
    <w:rsid w:val="007F08AF"/>
    <w:rsid w:val="00805C00"/>
    <w:rsid w:val="00822567"/>
    <w:rsid w:val="008D1289"/>
    <w:rsid w:val="009B26CC"/>
    <w:rsid w:val="009D18BC"/>
    <w:rsid w:val="009D2F70"/>
    <w:rsid w:val="009E383C"/>
    <w:rsid w:val="00B24EB7"/>
    <w:rsid w:val="00B909CA"/>
    <w:rsid w:val="00C81B6F"/>
    <w:rsid w:val="00CB2784"/>
    <w:rsid w:val="00D556DE"/>
    <w:rsid w:val="00E061F4"/>
    <w:rsid w:val="00E15684"/>
    <w:rsid w:val="00E5026B"/>
    <w:rsid w:val="00ED34A0"/>
    <w:rsid w:val="00F908BB"/>
    <w:rsid w:val="00F90B53"/>
    <w:rsid w:val="00FD77F8"/>
    <w:rsid w:val="00FF3DFC"/>
    <w:rsid w:val="045419D2"/>
    <w:rsid w:val="05040349"/>
    <w:rsid w:val="09A00DFA"/>
    <w:rsid w:val="10717588"/>
    <w:rsid w:val="139B08D4"/>
    <w:rsid w:val="146064A9"/>
    <w:rsid w:val="15242BB4"/>
    <w:rsid w:val="17BE0F97"/>
    <w:rsid w:val="1E6D03B7"/>
    <w:rsid w:val="1EFA2A95"/>
    <w:rsid w:val="20040DFF"/>
    <w:rsid w:val="24931E5D"/>
    <w:rsid w:val="25352E74"/>
    <w:rsid w:val="26C77342"/>
    <w:rsid w:val="2B867651"/>
    <w:rsid w:val="2D020FAA"/>
    <w:rsid w:val="34917488"/>
    <w:rsid w:val="35757F4F"/>
    <w:rsid w:val="37F544B3"/>
    <w:rsid w:val="3B600880"/>
    <w:rsid w:val="3CE93DBA"/>
    <w:rsid w:val="471B426F"/>
    <w:rsid w:val="4C7B030A"/>
    <w:rsid w:val="50C633C0"/>
    <w:rsid w:val="523B1AF7"/>
    <w:rsid w:val="57EA7FF9"/>
    <w:rsid w:val="58706086"/>
    <w:rsid w:val="5A14759D"/>
    <w:rsid w:val="5ABA1FB4"/>
    <w:rsid w:val="61A8045E"/>
    <w:rsid w:val="61FF7DA9"/>
    <w:rsid w:val="66F16E0E"/>
    <w:rsid w:val="684A343B"/>
    <w:rsid w:val="6B292965"/>
    <w:rsid w:val="6FD24231"/>
    <w:rsid w:val="71531941"/>
    <w:rsid w:val="71C22D1A"/>
    <w:rsid w:val="777E6D76"/>
    <w:rsid w:val="784B58A2"/>
    <w:rsid w:val="7D2154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BIOMAX</Company>
  <Pages>4</Pages>
  <Words>1351</Words>
  <Characters>1429</Characters>
  <Lines>6</Lines>
  <Paragraphs>1</Paragraphs>
  <TotalTime>4</TotalTime>
  <ScaleCrop>false</ScaleCrop>
  <LinksUpToDate>false</LinksUpToDate>
  <CharactersWithSpaces>1476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2015-03-30T06:21:00Z</dcterms:created>
  <dc:creator>TANGLIEKUN</dc:creator>
  <cp:lastModifiedBy>Hehe</cp:lastModifiedBy>
  <cp:lastPrinted>2023-06-26T07:41:00Z</cp:lastPrinted>
  <dcterms:modified xsi:type="dcterms:W3CDTF">2023-06-26T08:03:56Z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35ABF7E4A7F84427A24C000969A80225</vt:lpwstr>
  </property>
</Properties>
</file>