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default"/>
        </w:rPr>
      </w:pPr>
      <w:r>
        <w:rPr>
          <w:rFonts w:hint="default"/>
          <w:lang w:val="en-US" w:eastAsia="zh-CN"/>
        </w:rPr>
        <w:t>浙江省乐清市</w:t>
      </w:r>
      <w:r>
        <w:rPr>
          <w:rFonts w:hint="default"/>
        </w:rPr>
        <w:t>城市建设投资集团有限公司</w:t>
      </w:r>
    </w:p>
    <w:p>
      <w:pPr>
        <w:pStyle w:val="2"/>
        <w:jc w:val="center"/>
        <w:rPr>
          <w:rFonts w:hint="default"/>
          <w:lang w:val="en-US" w:eastAsia="zh-CN"/>
        </w:rPr>
      </w:pPr>
      <w:r>
        <w:rPr>
          <w:rFonts w:hint="default"/>
          <w:lang w:val="en-US" w:eastAsia="zh-CN"/>
        </w:rPr>
        <w:t>招聘简章</w:t>
      </w:r>
    </w:p>
    <w:p>
      <w:pPr>
        <w:pStyle w:val="2"/>
        <w:bidi w:val="0"/>
        <w:rPr>
          <w:rFonts w:hint="default"/>
          <w:lang w:val="en-US" w:eastAsia="zh-CN"/>
        </w:rPr>
      </w:pPr>
      <w:r>
        <w:rPr>
          <w:rFonts w:hint="default"/>
          <w:lang w:val="en-US" w:eastAsia="zh-CN"/>
        </w:rPr>
        <w:t>公司简介：</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一、乐清城投简介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Times New Roman" w:hAnsi="Times New Roman" w:eastAsia="仿宋_GB2312" w:cs="Times New Roman"/>
          <w:sz w:val="28"/>
          <w:szCs w:val="28"/>
          <w:lang w:val="en-US" w:eastAsia="zh-CN"/>
        </w:rPr>
      </w:pPr>
      <w:r>
        <w:rPr>
          <w:rFonts w:hint="eastAsia" w:ascii="仿宋_GB2312" w:hAnsi="仿宋_GB2312" w:eastAsia="仿宋_GB2312" w:cs="仿宋_GB2312"/>
          <w:sz w:val="28"/>
          <w:szCs w:val="28"/>
        </w:rPr>
        <w:t>乐清</w:t>
      </w:r>
      <w:r>
        <w:rPr>
          <w:rFonts w:hint="eastAsia" w:ascii="仿宋_GB2312" w:hAnsi="仿宋_GB2312" w:eastAsia="仿宋_GB2312" w:cs="仿宋_GB2312"/>
          <w:sz w:val="28"/>
          <w:szCs w:val="28"/>
          <w:lang w:val="en-US" w:eastAsia="zh-CN"/>
        </w:rPr>
        <w:t>城投</w:t>
      </w:r>
      <w:r>
        <w:rPr>
          <w:rFonts w:hint="eastAsia" w:ascii="Times New Roman" w:hAnsi="Times New Roman" w:eastAsia="仿宋_GB2312" w:cs="Times New Roman"/>
          <w:sz w:val="28"/>
          <w:szCs w:val="28"/>
          <w:lang w:val="en-US" w:eastAsia="zh-CN"/>
        </w:rPr>
        <w:t>是以原乐清市城市建设投资有限公司为主体，划入原城发集团、旧城公司、中心区发展公司、环保产业公司、康居公司、教育园区公司、人才公司等，优化组建的乐清市属国有独资公司。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乐清城投于2021年2月正式挂牌，注册资本金8.52亿元，总资产规模524亿元。经营范围涵盖城市建设和城市运营两大板块，涉及房地产开发经营、矿产资源（非煤矿山）开采、建筑用石加工、建筑材料与金属材料销售、环保等产业，是乐清城市基础设施开发建设运营平台。</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乐清城投立足新发展阶段、贯彻新发展理念、融入新发展格局，着眼战略全局谋划推动工作，紧紧围绕“一个定位”，即</w:t>
      </w:r>
      <w:r>
        <w:rPr>
          <w:rFonts w:hint="eastAsia" w:ascii="Times New Roman" w:hAnsi="Times New Roman" w:eastAsia="仿宋_GB2312" w:cs="Times New Roman"/>
          <w:sz w:val="28"/>
          <w:szCs w:val="28"/>
          <w:lang w:val="en-US" w:eastAsia="zh-CN"/>
        </w:rPr>
        <w:fldChar w:fldCharType="begin"/>
      </w:r>
      <w:r>
        <w:rPr>
          <w:rFonts w:hint="eastAsia" w:ascii="Times New Roman" w:hAnsi="Times New Roman" w:eastAsia="仿宋_GB2312" w:cs="Times New Roman"/>
          <w:sz w:val="28"/>
          <w:szCs w:val="28"/>
          <w:lang w:val="en-US" w:eastAsia="zh-CN"/>
        </w:rPr>
        <w:instrText xml:space="preserve"> HYPERLINK "http://en.yizhoukeji.com.cn/" \t "http://www.lycfgroup.com/_blank" </w:instrText>
      </w:r>
      <w:r>
        <w:rPr>
          <w:rFonts w:hint="eastAsia" w:ascii="Times New Roman" w:hAnsi="Times New Roman" w:eastAsia="仿宋_GB2312" w:cs="Times New Roman"/>
          <w:sz w:val="28"/>
          <w:szCs w:val="28"/>
          <w:lang w:val="en-US" w:eastAsia="zh-CN"/>
        </w:rPr>
        <w:fldChar w:fldCharType="separate"/>
      </w:r>
      <w:r>
        <w:rPr>
          <w:rFonts w:hint="eastAsia" w:ascii="Times New Roman" w:hAnsi="Times New Roman" w:eastAsia="仿宋_GB2312" w:cs="Times New Roman"/>
          <w:sz w:val="28"/>
          <w:szCs w:val="28"/>
          <w:lang w:val="en-US" w:eastAsia="zh-CN"/>
        </w:rPr>
        <w:t>争创领先的城市运营综合服务商</w:t>
      </w:r>
      <w:r>
        <w:rPr>
          <w:rFonts w:hint="eastAsia" w:ascii="Times New Roman" w:hAnsi="Times New Roman" w:eastAsia="仿宋_GB2312" w:cs="Times New Roman"/>
          <w:sz w:val="28"/>
          <w:szCs w:val="28"/>
          <w:lang w:val="en-US" w:eastAsia="zh-CN"/>
        </w:rPr>
        <w:fldChar w:fldCharType="end"/>
      </w:r>
      <w:r>
        <w:rPr>
          <w:rFonts w:hint="eastAsia" w:ascii="Times New Roman" w:hAnsi="Times New Roman" w:eastAsia="仿宋_GB2312" w:cs="Times New Roman"/>
          <w:sz w:val="28"/>
          <w:szCs w:val="28"/>
          <w:lang w:val="en-US" w:eastAsia="zh-CN"/>
        </w:rPr>
        <w:t>。做强做优“两大板块”，即城市基础建设提效率，城市运营拓展提品质。全面迈出企业多元业态融合发展步伐，打造集“实力、效能、品质”于一体的现代化城投集团。</w:t>
      </w:r>
      <w:bookmarkStart w:id="0" w:name="_Hlk99561349"/>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为着力提高城市净化水平，擦亮“醉美之城”生态环保底色，乐清城投于2022年8月成立所属全资子公司——乐清市城投生态环保有限公司，公司目前承担生活垃圾焚烧发电项目建设运营、环卫一体化、飞灰填埋场运营、渗滤液处理站运营等多项工作。</w:t>
      </w:r>
      <w:bookmarkEnd w:id="0"/>
    </w:p>
    <w:p>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乐清生活垃圾焚烧发电项目简介</w:t>
      </w:r>
    </w:p>
    <w:p>
      <w:pPr>
        <w:pStyle w:val="3"/>
        <w:keepNext w:val="0"/>
        <w:keepLines w:val="0"/>
        <w:pageBreakBefore w:val="0"/>
        <w:widowControl/>
        <w:numPr>
          <w:ilvl w:val="0"/>
          <w:numId w:val="0"/>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spacing w:line="560" w:lineRule="exact"/>
        <w:ind w:firstLine="646"/>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乐清市生活垃圾焚烧发电项目位于国家</w:t>
      </w:r>
      <w:r>
        <w:rPr>
          <w:rFonts w:hint="default" w:ascii="Times New Roman" w:hAnsi="Times New Roman" w:eastAsia="仿宋_GB2312" w:cs="Times New Roman"/>
          <w:sz w:val="28"/>
          <w:szCs w:val="28"/>
          <w:lang w:val="en-US" w:eastAsia="zh-CN"/>
        </w:rPr>
        <w:t>5A级旅游景区</w:t>
      </w:r>
      <w:r>
        <w:rPr>
          <w:rFonts w:hint="eastAsia" w:ascii="Times New Roman" w:hAnsi="Times New Roman" w:eastAsia="仿宋_GB2312" w:cs="Times New Roman"/>
          <w:sz w:val="28"/>
          <w:szCs w:val="28"/>
          <w:lang w:val="en-US" w:eastAsia="zh-CN"/>
        </w:rPr>
        <w:t>雁荡山国家森林公园东北面，离核心景点直线距离5公里。本</w:t>
      </w:r>
      <w:r>
        <w:rPr>
          <w:rFonts w:hint="default" w:ascii="Times New Roman" w:hAnsi="Times New Roman" w:eastAsia="仿宋_GB2312" w:cs="Times New Roman"/>
          <w:sz w:val="28"/>
          <w:szCs w:val="28"/>
          <w:lang w:val="en-US" w:eastAsia="zh-CN"/>
        </w:rPr>
        <w:t>项目</w:t>
      </w:r>
      <w:r>
        <w:rPr>
          <w:rFonts w:hint="eastAsia" w:ascii="Times New Roman" w:hAnsi="Times New Roman" w:eastAsia="仿宋_GB2312" w:cs="Times New Roman"/>
          <w:sz w:val="28"/>
          <w:szCs w:val="28"/>
          <w:lang w:val="en-US" w:eastAsia="zh-CN"/>
        </w:rPr>
        <w:t>分期实施，本期处理规模1500吨/日，装机2台750吨/日焚烧炉、2台6.4MPa中温次高压余热炉和1台40MW凝汽式汽轮发电机。项目于2023年5月开工建设，计划2024年年底建成投产，项目总投资15亿元。</w:t>
      </w:r>
    </w:p>
    <w:p>
      <w:pPr>
        <w:keepNext w:val="0"/>
        <w:keepLines w:val="0"/>
        <w:pageBreakBefore w:val="0"/>
        <w:widowControl w:val="0"/>
        <w:kinsoku/>
        <w:wordWrap/>
        <w:overflowPunct/>
        <w:topLinePunct w:val="0"/>
        <w:autoSpaceDE/>
        <w:autoSpaceDN/>
        <w:bidi w:val="0"/>
        <w:spacing w:line="560" w:lineRule="exact"/>
        <w:ind w:firstLine="646"/>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项目烟气净化工艺采用：SNCR 炉内脱硝（氨水）＋半干法脱酸+活性炭喷射＋干法喷射脱酸+布袋除尘+1#GGH+湿法脱酸(含减湿脱白)+2#GGH+SGH+SCR；渗滤液处理工艺采用：预处理+UASB 厌氧+MBR+ NF+RO（浓缩液 DTRO 处理）；项目全厂污染物排放指标均优于欧盟标准（欧盟2010/75/EC），远高于国家标准；项目综合楼配套食堂和宿舍，宿舍全部为单人公寓式，旨在为员工提供舒心安心的工作环境。</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乐清城投环保公司承担着改善城市生态环境、助力“醉美乐清·幸福之城”大建设的责任和历史使命，目前各产业版块齐头并进，亟需热能动力工程技术、电力系统自动化技术、发电厂及电力系统、计算机应用技术等各专业领域的精英学子加盟，需要一批专业敬业、勇于进取、敢于担当的有志青年加入我们乐清城投大家庭！</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让我们一起开创、一起奋斗、一起成长、一起分享。乐清城投欢迎江西电力职业技术学院的</w:t>
      </w:r>
      <w:r>
        <w:rPr>
          <w:rFonts w:hint="default" w:ascii="Times New Roman" w:hAnsi="Times New Roman" w:eastAsia="仿宋_GB2312" w:cs="Times New Roman"/>
          <w:sz w:val="28"/>
          <w:szCs w:val="28"/>
          <w:lang w:val="en-US" w:eastAsia="zh-CN"/>
        </w:rPr>
        <w:t>各位莘莘学子加入我们大家庭</w:t>
      </w:r>
      <w:r>
        <w:rPr>
          <w:rFonts w:hint="eastAsia" w:ascii="Times New Roman" w:hAnsi="Times New Roman" w:eastAsia="仿宋_GB2312" w:cs="Times New Roman"/>
          <w:sz w:val="28"/>
          <w:szCs w:val="28"/>
          <w:lang w:val="en-US" w:eastAsia="zh-CN"/>
        </w:rPr>
        <w:t>！</w:t>
      </w:r>
    </w:p>
    <w:p>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left="0" w:leftChars="0" w:firstLine="560" w:firstLineChars="200"/>
        <w:jc w:val="both"/>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招聘计划及岗位类别</w:t>
      </w:r>
    </w:p>
    <w:tbl>
      <w:tblPr>
        <w:tblStyle w:val="5"/>
        <w:tblW w:w="9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808"/>
        <w:gridCol w:w="1241"/>
        <w:gridCol w:w="3232"/>
        <w:gridCol w:w="1015"/>
        <w:gridCol w:w="1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57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序</w:t>
            </w:r>
          </w:p>
        </w:tc>
        <w:tc>
          <w:tcPr>
            <w:tcW w:w="180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岗位</w:t>
            </w:r>
          </w:p>
        </w:tc>
        <w:tc>
          <w:tcPr>
            <w:tcW w:w="124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招聘数量</w:t>
            </w:r>
          </w:p>
        </w:tc>
        <w:tc>
          <w:tcPr>
            <w:tcW w:w="323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专业</w:t>
            </w:r>
          </w:p>
        </w:tc>
        <w:tc>
          <w:tcPr>
            <w:tcW w:w="101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学历</w:t>
            </w:r>
          </w:p>
        </w:tc>
        <w:tc>
          <w:tcPr>
            <w:tcW w:w="115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0" w:hRule="atLeast"/>
          <w:jc w:val="center"/>
        </w:trPr>
        <w:tc>
          <w:tcPr>
            <w:tcW w:w="57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C-1</w:t>
            </w:r>
          </w:p>
        </w:tc>
        <w:tc>
          <w:tcPr>
            <w:tcW w:w="180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运行工程师</w:t>
            </w:r>
          </w:p>
        </w:tc>
        <w:tc>
          <w:tcPr>
            <w:tcW w:w="124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3232" w:type="dxa"/>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热能动力工程技术、机电一体化技术、发电运行技术、热工自动化技术、电力系统自动化技术、电气自动化技术、电力系统继电保护技术、供用电技术、发电厂及电力系统、输配电工程技术、计算机应用技术、物联网应用技术、大数据技术、计算机网络技术、火电厂集控运行、电厂热工自动化技术、热能动力工程技术。</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p>
        </w:tc>
        <w:tc>
          <w:tcPr>
            <w:tcW w:w="101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全日制大专及以上</w:t>
            </w:r>
          </w:p>
        </w:tc>
        <w:tc>
          <w:tcPr>
            <w:tcW w:w="115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2024年毕业生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4"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124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3232"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p>
        </w:tc>
        <w:tc>
          <w:tcPr>
            <w:tcW w:w="101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p>
        </w:tc>
        <w:tc>
          <w:tcPr>
            <w:tcW w:w="115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p>
        </w:tc>
      </w:tr>
    </w:tbl>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三</w:t>
      </w:r>
      <w:r>
        <w:rPr>
          <w:rFonts w:hint="eastAsia" w:ascii="黑体" w:hAnsi="黑体" w:eastAsia="黑体" w:cs="黑体"/>
          <w:sz w:val="28"/>
          <w:szCs w:val="28"/>
        </w:rPr>
        <w:t>、招聘</w:t>
      </w:r>
      <w:r>
        <w:rPr>
          <w:rFonts w:hint="eastAsia" w:ascii="黑体" w:hAnsi="黑体" w:eastAsia="黑体" w:cs="黑体"/>
          <w:sz w:val="28"/>
          <w:szCs w:val="28"/>
          <w:lang w:val="en-US" w:eastAsia="zh-CN"/>
        </w:rPr>
        <w:t>对象及资格</w:t>
      </w:r>
      <w:r>
        <w:rPr>
          <w:rFonts w:hint="eastAsia" w:ascii="黑体" w:hAnsi="黑体" w:eastAsia="黑体" w:cs="黑体"/>
          <w:sz w:val="28"/>
          <w:szCs w:val="28"/>
        </w:rPr>
        <w:t>条件</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2" w:firstLineChars="200"/>
        <w:jc w:val="both"/>
        <w:textAlignment w:val="auto"/>
        <w:rPr>
          <w:rFonts w:hint="eastAsia" w:ascii="Times New Roman" w:hAnsi="Times New Roman" w:eastAsia="楷体_GB2312" w:cs="Times New Roman"/>
          <w:b/>
          <w:bCs/>
          <w:kern w:val="2"/>
          <w:sz w:val="28"/>
          <w:szCs w:val="28"/>
          <w:lang w:val="en-US" w:eastAsia="zh-CN" w:bidi="ar-SA"/>
        </w:rPr>
      </w:pPr>
      <w:r>
        <w:rPr>
          <w:rFonts w:hint="eastAsia" w:ascii="Times New Roman" w:hAnsi="Times New Roman" w:eastAsia="楷体_GB2312" w:cs="Times New Roman"/>
          <w:b/>
          <w:bCs/>
          <w:kern w:val="2"/>
          <w:sz w:val="28"/>
          <w:szCs w:val="28"/>
          <w:lang w:val="en-US" w:eastAsia="zh-CN" w:bidi="ar-SA"/>
        </w:rPr>
        <w:t>（一）</w:t>
      </w:r>
      <w:r>
        <w:rPr>
          <w:rFonts w:hint="eastAsia" w:ascii="Times New Roman" w:hAnsi="Times New Roman" w:eastAsia="楷体_GB2312" w:cs="Times New Roman"/>
          <w:b/>
          <w:bCs/>
          <w:kern w:val="2"/>
          <w:sz w:val="28"/>
          <w:szCs w:val="28"/>
        </w:rPr>
        <w:t>招聘</w:t>
      </w:r>
      <w:r>
        <w:rPr>
          <w:rFonts w:hint="eastAsia" w:ascii="Times New Roman" w:hAnsi="Times New Roman" w:eastAsia="楷体_GB2312" w:cs="Times New Roman"/>
          <w:b/>
          <w:bCs/>
          <w:kern w:val="2"/>
          <w:sz w:val="28"/>
          <w:szCs w:val="28"/>
          <w:lang w:val="en-US" w:eastAsia="zh-CN"/>
        </w:rPr>
        <w:t>对象</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2024届应届毕业生,全日制专科及以上学历。</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2" w:firstLineChars="200"/>
        <w:jc w:val="both"/>
        <w:textAlignment w:val="auto"/>
        <w:rPr>
          <w:rFonts w:hint="eastAsia" w:ascii="Times New Roman" w:hAnsi="Times New Roman" w:eastAsia="楷体_GB2312" w:cs="Times New Roman"/>
          <w:b/>
          <w:bCs/>
          <w:kern w:val="2"/>
          <w:sz w:val="28"/>
          <w:szCs w:val="28"/>
          <w:lang w:val="en-US" w:eastAsia="zh-CN" w:bidi="ar-SA"/>
        </w:rPr>
      </w:pPr>
      <w:r>
        <w:rPr>
          <w:rFonts w:hint="eastAsia" w:ascii="Times New Roman" w:hAnsi="Times New Roman" w:eastAsia="楷体_GB2312" w:cs="Times New Roman"/>
          <w:b/>
          <w:bCs/>
          <w:kern w:val="2"/>
          <w:sz w:val="28"/>
          <w:szCs w:val="28"/>
          <w:lang w:val="en-US" w:eastAsia="zh-CN" w:bidi="ar-SA"/>
        </w:rPr>
        <w:t>（二）招聘条件</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1.具有中华人民共和国国籍，享有公民的政治权利。</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2.热爱事业，具有良好的职业道德；遵纪守法，品行端正。</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3.年龄不超过25周岁(1998年1月1日以后出生)。</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4.资格条件中的“2024年毕业生”，指在国（境）内2024年毕业并取得学历（学位）证书，且仍无工作单位的人员。专业目录按《2024年浙江省公务员录用考试专业参考目录》执行。</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5.志愿在乐清市城市投资建设集团有限公司从事垃圾焚烧相关工作不少于3年。</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6.身心健康，能适应相应岗位工作要求。</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7.有下列情形之一的，不得应聘：</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（1）正在接受司法机关、纪检（监察）机关立案侦查或审查调查的；</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（2）受党纪政纪处分，处分期未满的；</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（3）曾因犯罪受过刑事处罚的人员，曾被开除公职的人员，原为公务员、事业单位工作人员被辞退未满5年的人员；</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（4）未满国家规定的最低服务年限的公务员（含参照公务员法管理人员），事业单位在编在职工作人员工作未满3年的；</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（5）现役军人、在全日制普通高校就读的非2024年应届毕业生，在全日制普通高校脱产就读的非2024年应届毕业的专升本人员；</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（6）2024年毕业的委培生(定向生)以及未满培养协议(聘用合同)规定服务期的委培生或定向生；</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（7）参照《公务员录用考察办法（试行）》（中组发〔2021〕11号）等规定不得确定为拟录用人选情形之一的人员；</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（8）被依法认定为失信联合惩戒对象的人员；</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与单位负责人员有夫妻关系、直系血亲关系、三代以内旁系血亲关系或者近姻亲关系等亲属关系的，不得应聘单位的组织（人事）、纪检监察、审计财务岗位；与现有在岗人员存在上述关系的，不得应聘到岗后形成直接上下级领导关系的管理类岗位；</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kern w:val="2"/>
          <w:sz w:val="28"/>
          <w:szCs w:val="28"/>
          <w:lang w:val="en-US" w:eastAsia="zh-CN" w:bidi="ar-SA"/>
        </w:rPr>
        <w:t>（10）法律、法规规定不得招聘为国有企业工作人员的其他情形。</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Times New Roman" w:hAnsi="Times New Roman" w:eastAsia="楷体_GB2312" w:cs="Times New Roman"/>
          <w:b/>
          <w:bCs/>
          <w:kern w:val="2"/>
          <w:sz w:val="28"/>
          <w:szCs w:val="28"/>
          <w:lang w:val="en-US" w:eastAsia="zh-CN" w:bidi="ar-SA"/>
        </w:rPr>
      </w:pPr>
      <w:r>
        <w:rPr>
          <w:rFonts w:hint="eastAsia" w:ascii="黑体" w:hAnsi="黑体" w:eastAsia="黑体" w:cs="黑体"/>
          <w:sz w:val="28"/>
          <w:szCs w:val="28"/>
          <w:lang w:val="en-US" w:eastAsia="zh-CN"/>
        </w:rPr>
        <w:t>四</w:t>
      </w:r>
      <w:r>
        <w:rPr>
          <w:rFonts w:hint="eastAsia" w:ascii="黑体" w:hAnsi="黑体" w:eastAsia="黑体" w:cs="黑体"/>
          <w:sz w:val="28"/>
          <w:szCs w:val="28"/>
        </w:rPr>
        <w:t>、</w:t>
      </w:r>
      <w:r>
        <w:rPr>
          <w:rFonts w:hint="eastAsia" w:ascii="黑体" w:hAnsi="黑体" w:eastAsia="黑体"/>
          <w:sz w:val="28"/>
          <w:szCs w:val="28"/>
          <w:lang w:val="en-US" w:eastAsia="zh-CN"/>
        </w:rPr>
        <w:t>招聘方式和程序</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color w:val="auto"/>
          <w:sz w:val="28"/>
          <w:szCs w:val="28"/>
          <w:shd w:val="clear" w:fill="auto"/>
        </w:rPr>
      </w:pPr>
      <w:r>
        <w:rPr>
          <w:rFonts w:hint="eastAsia" w:ascii="仿宋_GB2312" w:hAnsi="仿宋_GB2312" w:eastAsia="仿宋_GB2312" w:cs="仿宋_GB2312"/>
          <w:color w:val="auto"/>
          <w:sz w:val="28"/>
          <w:szCs w:val="28"/>
          <w:shd w:val="clear" w:fill="auto"/>
        </w:rPr>
        <w:t>召开专场宣讲会或参加双选会→学生现场报名→</w:t>
      </w:r>
      <w:r>
        <w:rPr>
          <w:rFonts w:hint="eastAsia" w:ascii="仿宋_GB2312" w:hAnsi="仿宋_GB2312" w:eastAsia="仿宋_GB2312" w:cs="仿宋_GB2312"/>
          <w:color w:val="auto"/>
          <w:sz w:val="28"/>
          <w:szCs w:val="28"/>
          <w:shd w:val="clear" w:fill="auto"/>
          <w:lang w:val="en-US" w:eastAsia="zh-CN"/>
        </w:rPr>
        <w:t>资格审查</w:t>
      </w:r>
      <w:r>
        <w:rPr>
          <w:rFonts w:hint="eastAsia" w:ascii="仿宋_GB2312" w:hAnsi="仿宋_GB2312" w:eastAsia="仿宋_GB2312" w:cs="仿宋_GB2312"/>
          <w:color w:val="auto"/>
          <w:sz w:val="28"/>
          <w:szCs w:val="28"/>
          <w:shd w:val="clear" w:fill="auto"/>
        </w:rPr>
        <w:t>→现场</w:t>
      </w:r>
      <w:r>
        <w:rPr>
          <w:rFonts w:hint="eastAsia" w:ascii="仿宋_GB2312" w:hAnsi="仿宋_GB2312" w:eastAsia="仿宋_GB2312" w:cs="仿宋_GB2312"/>
          <w:color w:val="auto"/>
          <w:sz w:val="28"/>
          <w:szCs w:val="28"/>
          <w:shd w:val="clear" w:fill="auto"/>
          <w:lang w:val="en-US" w:eastAsia="zh-CN"/>
        </w:rPr>
        <w:t>测试</w:t>
      </w:r>
      <w:r>
        <w:rPr>
          <w:rFonts w:hint="eastAsia" w:ascii="仿宋_GB2312" w:hAnsi="仿宋_GB2312" w:eastAsia="仿宋_GB2312" w:cs="仿宋_GB2312"/>
          <w:color w:val="auto"/>
          <w:sz w:val="28"/>
          <w:szCs w:val="28"/>
          <w:shd w:val="clear" w:fill="auto"/>
        </w:rPr>
        <w:t>→综合评议、择优录用→双向选择→确定拟录用名单→签订三方协议（约定体检、公示不合格可解除三方协议）→公示。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1.发布信息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在“乐清人才官网”网站（www.yqhr.com.cn）、“乐清城投”微信公众号和相关高校网站公开发布招聘信息。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2.组织报名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本次招聘在江西电力职业技术学院（南昌市昌北经济开发区海棠南路268号）设招聘点，采取现场报名的方式。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考生现场报名时须携带下列材料: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(1)乐清市城市建设投资集团有限公司2024年上半年校园招聘报名表。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(2)居民身份证原件及复印件（必要）。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(3)学信网教育部学籍在线验证报告或学信网教育部学历证书电子注册备案表。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(4)学年内总成绩单加盖学校公章。（必要且最高学历期间必修课程无重修或补考）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(5)学历学位证书。奖励荣誉材料、职称或者职业资格证书等。</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0"/>
          <w:sz w:val="28"/>
          <w:szCs w:val="28"/>
          <w:shd w:val="clear" w:fill="auto"/>
          <w:lang w:val="en-US" w:eastAsia="zh-CN" w:bidi="ar-SA"/>
        </w:rPr>
      </w:pPr>
      <w:r>
        <w:rPr>
          <w:rFonts w:hint="eastAsia" w:ascii="仿宋_GB2312" w:hAnsi="仿宋_GB2312" w:eastAsia="仿宋_GB2312" w:cs="仿宋_GB2312"/>
          <w:color w:val="auto"/>
          <w:kern w:val="0"/>
          <w:sz w:val="28"/>
          <w:szCs w:val="28"/>
          <w:shd w:val="clear" w:fill="auto"/>
          <w:lang w:val="en-US" w:eastAsia="zh-CN" w:bidi="ar-SA"/>
        </w:rPr>
        <w:t>报名表、相关证明和证书复印材料一律使用A4纸打印。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FF0000"/>
          <w:kern w:val="0"/>
          <w:sz w:val="28"/>
          <w:szCs w:val="28"/>
          <w:lang w:val="en-US" w:eastAsia="zh-CN" w:bidi="ar-SA"/>
        </w:rPr>
      </w:pPr>
      <w:r>
        <w:rPr>
          <w:rFonts w:hint="eastAsia" w:ascii="仿宋_GB2312" w:hAnsi="仿宋_GB2312" w:eastAsia="仿宋_GB2312" w:cs="仿宋_GB2312"/>
          <w:color w:val="FF0000"/>
          <w:kern w:val="0"/>
          <w:sz w:val="28"/>
          <w:szCs w:val="28"/>
          <w:lang w:val="en-US" w:eastAsia="zh-CN" w:bidi="ar-SA"/>
        </w:rPr>
        <w:t>请务必携带以上相关材料（纸质版），作为简历筛查的依据。已签约者不考虑。有意向的同学请投递邮箱至ljp3880150@163.com</w:t>
      </w:r>
      <w:bookmarkStart w:id="1" w:name="_GoBack"/>
      <w:bookmarkEnd w:id="1"/>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eastAsia" w:ascii="Times New Roman" w:hAnsi="Times New Roman" w:eastAsia="楷体_GB2312" w:cs="Times New Roman"/>
          <w:b/>
          <w:bCs/>
          <w:kern w:val="2"/>
          <w:sz w:val="28"/>
          <w:szCs w:val="28"/>
          <w:lang w:val="en-US" w:eastAsia="zh-CN" w:bidi="ar-SA"/>
        </w:rPr>
      </w:pPr>
      <w:r>
        <w:rPr>
          <w:rFonts w:hint="eastAsia" w:ascii="黑体" w:hAnsi="黑体" w:eastAsia="黑体"/>
          <w:sz w:val="28"/>
          <w:szCs w:val="28"/>
          <w:lang w:val="en-US" w:eastAsia="zh-CN"/>
        </w:rPr>
        <w:t>五、注意事项</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i w:val="0"/>
          <w:caps w:val="0"/>
          <w:color w:val="auto"/>
          <w:spacing w:val="0"/>
          <w:sz w:val="28"/>
          <w:szCs w:val="28"/>
          <w:highlight w:val="none"/>
          <w:shd w:val="clear" w:fill="auto"/>
          <w:lang w:val="en-US" w:eastAsia="zh-CN"/>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i w:val="0"/>
          <w:caps w:val="0"/>
          <w:color w:val="auto"/>
          <w:spacing w:val="0"/>
          <w:sz w:val="28"/>
          <w:szCs w:val="28"/>
          <w:highlight w:val="none"/>
          <w:shd w:val="clear" w:fill="auto"/>
          <w:lang w:val="en-US" w:eastAsia="zh-CN"/>
        </w:rPr>
        <w:t>高校专场招聘会具体时间地点将在</w:t>
      </w:r>
      <w:r>
        <w:rPr>
          <w:rFonts w:hint="eastAsia" w:ascii="仿宋_GB2312" w:hAnsi="仿宋_GB2312" w:eastAsia="仿宋_GB2312" w:cs="仿宋_GB2312"/>
          <w:color w:val="auto"/>
          <w:kern w:val="0"/>
          <w:sz w:val="28"/>
          <w:szCs w:val="28"/>
          <w:highlight w:val="none"/>
          <w:shd w:val="clear" w:fill="auto"/>
          <w:lang w:val="en-US" w:eastAsia="zh-CN" w:bidi="ar-SA"/>
        </w:rPr>
        <w:t>“乐清人才官网”（www.yqhr.com.cn）</w:t>
      </w:r>
      <w:r>
        <w:rPr>
          <w:rFonts w:hint="eastAsia" w:ascii="仿宋_GB2312" w:hAnsi="仿宋_GB2312" w:eastAsia="仿宋_GB2312" w:cs="仿宋_GB2312"/>
          <w:color w:val="auto"/>
          <w:sz w:val="28"/>
          <w:szCs w:val="28"/>
          <w:highlight w:val="none"/>
          <w:shd w:val="clear" w:fill="auto"/>
          <w:lang w:val="en-US" w:eastAsia="zh-CN"/>
        </w:rPr>
        <w:t>实时发布，请及时关注</w:t>
      </w:r>
      <w:r>
        <w:rPr>
          <w:rFonts w:hint="eastAsia" w:ascii="仿宋_GB2312" w:hAnsi="仿宋_GB2312" w:eastAsia="仿宋_GB2312" w:cs="仿宋_GB2312"/>
          <w:i w:val="0"/>
          <w:caps w:val="0"/>
          <w:color w:val="auto"/>
          <w:spacing w:val="0"/>
          <w:sz w:val="28"/>
          <w:szCs w:val="28"/>
          <w:highlight w:val="none"/>
          <w:shd w:val="clear" w:fill="auto"/>
          <w:lang w:val="en-US" w:eastAsia="zh-CN"/>
        </w:rPr>
        <w:t>。</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caps w:val="0"/>
          <w:color w:val="auto"/>
          <w:spacing w:val="0"/>
          <w:sz w:val="28"/>
          <w:szCs w:val="28"/>
          <w:shd w:val="clear" w:fill="auto"/>
          <w:lang w:val="en-US" w:eastAsia="zh-CN"/>
        </w:rPr>
        <w:t>2.</w:t>
      </w:r>
      <w:r>
        <w:rPr>
          <w:rFonts w:hint="eastAsia" w:ascii="仿宋_GB2312" w:hAnsi="仿宋_GB2312" w:eastAsia="仿宋_GB2312" w:cs="仿宋_GB2312"/>
          <w:color w:val="auto"/>
          <w:sz w:val="28"/>
          <w:szCs w:val="28"/>
          <w:lang w:val="en-US" w:eastAsia="zh-CN"/>
        </w:rPr>
        <w:t>若因本人填写简历信息有误或不全，影响资格审查的，由本人负责。</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3.资格审查</w:t>
      </w:r>
      <w:r>
        <w:rPr>
          <w:rFonts w:hint="eastAsia" w:ascii="仿宋_GB2312" w:hAnsi="仿宋_GB2312" w:eastAsia="仿宋_GB2312" w:cs="仿宋_GB2312"/>
          <w:color w:val="auto"/>
          <w:sz w:val="28"/>
          <w:szCs w:val="28"/>
        </w:rPr>
        <w:t>贯穿招聘工作全过程，任何环节发现应聘人员不符合岗位报名条件或提供虚假材料</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如填写的简历信息不实等）</w:t>
      </w:r>
      <w:r>
        <w:rPr>
          <w:rFonts w:hint="eastAsia" w:ascii="仿宋_GB2312" w:hAnsi="仿宋_GB2312" w:eastAsia="仿宋_GB2312" w:cs="仿宋_GB2312"/>
          <w:color w:val="auto"/>
          <w:sz w:val="28"/>
          <w:szCs w:val="28"/>
        </w:rPr>
        <w:t>，一经查实，取消</w:t>
      </w:r>
      <w:r>
        <w:rPr>
          <w:rFonts w:hint="eastAsia" w:ascii="仿宋_GB2312" w:hAnsi="仿宋_GB2312" w:eastAsia="仿宋_GB2312" w:cs="仿宋_GB2312"/>
          <w:color w:val="auto"/>
          <w:sz w:val="28"/>
          <w:szCs w:val="28"/>
          <w:lang w:val="en-US" w:eastAsia="zh-CN"/>
        </w:rPr>
        <w:t>测试</w:t>
      </w:r>
      <w:r>
        <w:rPr>
          <w:rFonts w:hint="eastAsia" w:ascii="仿宋_GB2312" w:hAnsi="仿宋_GB2312" w:eastAsia="仿宋_GB2312" w:cs="仿宋_GB2312"/>
          <w:color w:val="auto"/>
          <w:sz w:val="28"/>
          <w:szCs w:val="28"/>
        </w:rPr>
        <w:t>或录用资格。</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4.因考生自动放弃</w:t>
      </w:r>
      <w:r>
        <w:rPr>
          <w:rFonts w:hint="eastAsia" w:ascii="仿宋_GB2312" w:hAnsi="仿宋_GB2312" w:eastAsia="仿宋_GB2312" w:cs="仿宋_GB2312"/>
          <w:color w:val="auto"/>
          <w:sz w:val="28"/>
          <w:szCs w:val="28"/>
        </w:rPr>
        <w:t>或体检不合格等原因</w:t>
      </w:r>
      <w:r>
        <w:rPr>
          <w:rFonts w:hint="eastAsia" w:ascii="仿宋_GB2312" w:hAnsi="仿宋_GB2312" w:eastAsia="仿宋_GB2312" w:cs="仿宋_GB2312"/>
          <w:color w:val="auto"/>
          <w:sz w:val="28"/>
          <w:szCs w:val="28"/>
          <w:lang w:val="en-US" w:eastAsia="zh-CN"/>
        </w:rPr>
        <w:t>所产生的岗位空缺，从本岗位候补人员中，按综合成绩从高到低递补。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6C1A3"/>
    <w:multiLevelType w:val="singleLevel"/>
    <w:tmpl w:val="1146C1A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kNjhmNzhkOGRmYTA0YjhhMWUxYTQ3MjdiNjk4MmEifQ=="/>
  </w:docVars>
  <w:rsids>
    <w:rsidRoot w:val="3BB12B7C"/>
    <w:rsid w:val="11131669"/>
    <w:rsid w:val="3BB12B7C"/>
    <w:rsid w:val="42897BC6"/>
    <w:rsid w:val="76647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2023-12-18T11:20:00Z</dcterms:created>
  <dc:creator>边記</dc:creator>
  <cp:lastModifiedBy>Jianping Li</cp:lastModifiedBy>
  <dcterms:modified xsi:type="dcterms:W3CDTF">2023-12-20T01:53:32Z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71C1B7A40D9440B1A804A0F16A251129_11</vt:lpwstr>
  </property>
</Properties>
</file>