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微软雅黑" w:hAnsi="微软雅黑" w:eastAsia="微软雅黑" w:cs="微软雅黑"/>
          <w:b/>
          <w:bCs/>
          <w:sz w:val="36"/>
          <w:szCs w:val="36"/>
          <w:lang w:val="en-US" w:eastAsia="zh-CN"/>
        </w:rPr>
      </w:pPr>
      <w:bookmarkStart w:id="0" w:name="_GoBack"/>
      <w:r>
        <w:rPr>
          <w:rFonts w:hint="eastAsia" w:ascii="微软雅黑" w:hAnsi="微软雅黑" w:eastAsia="微软雅黑" w:cs="微软雅黑"/>
          <w:b/>
          <w:bCs/>
          <w:sz w:val="36"/>
          <w:szCs w:val="36"/>
          <w:lang w:val="en-US" w:eastAsia="zh-CN"/>
        </w:rPr>
        <w:t>中节能晶和科技有限公司</w:t>
      </w:r>
    </w:p>
    <w:bookmarkEnd w:id="0"/>
    <w:p>
      <w:pPr>
        <w:rPr>
          <w:b/>
          <w:sz w:val="11"/>
          <w:szCs w:val="11"/>
        </w:rPr>
      </w:pPr>
    </w:p>
    <w:p>
      <w:pPr>
        <w:rPr>
          <w:rFonts w:ascii="微软雅黑" w:hAnsi="微软雅黑" w:eastAsia="微软雅黑"/>
          <w:b/>
          <w:bCs/>
          <w:sz w:val="28"/>
          <w:szCs w:val="28"/>
          <w:shd w:val="pct10" w:color="auto" w:fill="FFFFFF"/>
        </w:rPr>
      </w:pPr>
      <w:r>
        <w:rPr>
          <w:rFonts w:hint="eastAsia" w:ascii="微软雅黑" w:hAnsi="微软雅黑" w:eastAsia="微软雅黑"/>
          <w:b/>
          <w:bCs/>
          <w:sz w:val="28"/>
          <w:szCs w:val="28"/>
          <w:shd w:val="pct10" w:color="auto" w:fill="FFFFFF"/>
        </w:rPr>
        <w:t>公司简介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微软雅黑" w:hAnsi="微软雅黑" w:eastAsia="微软雅黑" w:cs="微软雅黑"/>
          <w:sz w:val="24"/>
          <w:szCs w:val="24"/>
          <w:vertAlign w:val="baseline"/>
          <w:lang w:eastAsia="zh-CN"/>
        </w:rPr>
      </w:pPr>
      <w:r>
        <w:rPr>
          <w:rFonts w:hint="eastAsia" w:ascii="微软雅黑" w:hAnsi="微软雅黑" w:eastAsia="微软雅黑" w:cs="微软雅黑"/>
          <w:sz w:val="24"/>
          <w:szCs w:val="24"/>
          <w:vertAlign w:val="baseline"/>
        </w:rPr>
        <w:t>公司成立于2009年4月，注册资金1.25亿元，是中国节能环保集团下属专业从事节能照明业务的子公司，专注于LED节能照明及智慧照明的高新技术企业。中国节能环保集团是我国以节能减排、环境保护为主业的中央企业</w:t>
      </w:r>
      <w:r>
        <w:rPr>
          <w:rFonts w:hint="eastAsia" w:ascii="微软雅黑" w:hAnsi="微软雅黑" w:eastAsia="微软雅黑" w:cs="微软雅黑"/>
          <w:sz w:val="24"/>
          <w:szCs w:val="24"/>
          <w:vertAlign w:val="baseline"/>
          <w:lang w:eastAsia="zh-CN"/>
        </w:rPr>
        <w:t>，</w:t>
      </w:r>
      <w:r>
        <w:rPr>
          <w:rFonts w:hint="eastAsia" w:ascii="微软雅黑" w:hAnsi="微软雅黑" w:eastAsia="微软雅黑" w:cs="微软雅黑"/>
          <w:sz w:val="24"/>
          <w:szCs w:val="24"/>
          <w:vertAlign w:val="baseline"/>
          <w:lang w:val="en-US" w:eastAsia="zh-CN"/>
        </w:rPr>
        <w:t>是</w:t>
      </w:r>
      <w:r>
        <w:rPr>
          <w:rFonts w:hint="eastAsia" w:ascii="微软雅黑" w:hAnsi="微软雅黑" w:eastAsia="微软雅黑" w:cs="微软雅黑"/>
          <w:sz w:val="24"/>
          <w:szCs w:val="24"/>
          <w:vertAlign w:val="baseline"/>
          <w:lang w:eastAsia="zh-CN"/>
        </w:rPr>
        <w:t>中国节能环保领域最大的科技型服务型产业集团。</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宋体" w:hAnsi="宋体" w:eastAsia="宋体" w:cs="宋体"/>
          <w:sz w:val="15"/>
          <w:szCs w:val="15"/>
          <w:lang w:val="en-US" w:eastAsia="zh-CN"/>
        </w:rPr>
      </w:pPr>
      <w:r>
        <w:rPr>
          <w:rFonts w:hint="eastAsia" w:ascii="微软雅黑" w:hAnsi="微软雅黑" w:eastAsia="微软雅黑" w:cs="微软雅黑"/>
          <w:sz w:val="24"/>
          <w:szCs w:val="24"/>
          <w:vertAlign w:val="baseline"/>
        </w:rPr>
        <w:t>公司科研实力强大，承担多项国家级科研项目，公司参与研发的“硅衬底LED技术”在2016年1月荣获国家技术发明奖一等奖。</w:t>
      </w:r>
      <w:r>
        <w:rPr>
          <w:rFonts w:hint="eastAsia" w:ascii="微软雅黑" w:hAnsi="微软雅黑" w:eastAsia="微软雅黑" w:cs="微软雅黑"/>
          <w:sz w:val="24"/>
          <w:szCs w:val="24"/>
          <w:vertAlign w:val="baseline"/>
          <w:lang w:val="en-US" w:eastAsia="zh-CN"/>
        </w:rPr>
        <w:t>公</w:t>
      </w:r>
      <w:r>
        <w:rPr>
          <w:rFonts w:hint="eastAsia" w:ascii="微软雅黑" w:hAnsi="微软雅黑" w:eastAsia="微软雅黑" w:cs="微软雅黑"/>
          <w:sz w:val="24"/>
          <w:szCs w:val="24"/>
          <w:vertAlign w:val="baseline"/>
        </w:rPr>
        <w:t>司拥有顶尖的专家团队和国家级实验室，产品技术研发实力强大，拥有各类专利190多项；承担863计划等多项国家级重大科研项目，是国家发改委批复的固态光源国家地方联合工程研究中心的承担单位，科技部批复的国家硅基半导体照明工程技术研究中心的参与组建单位。</w:t>
      </w:r>
      <w:r>
        <w:rPr>
          <w:rFonts w:hint="eastAsia" w:ascii="宋体" w:hAnsi="宋体" w:eastAsia="宋体" w:cs="宋体"/>
          <w:sz w:val="24"/>
          <w:szCs w:val="24"/>
          <w:lang w:val="en-US" w:eastAsia="zh-CN"/>
        </w:rPr>
        <w:t xml:space="preserve">  </w:t>
      </w:r>
    </w:p>
    <w:p>
      <w:pPr>
        <w:rPr>
          <w:rFonts w:hint="eastAsia" w:ascii="微软雅黑" w:hAnsi="微软雅黑" w:eastAsia="微软雅黑"/>
          <w:b/>
          <w:bCs/>
          <w:sz w:val="28"/>
          <w:szCs w:val="28"/>
          <w:shd w:val="pct10" w:color="auto" w:fill="FFFFFF"/>
        </w:rPr>
      </w:pPr>
      <w:r>
        <w:rPr>
          <w:rFonts w:hint="eastAsia" w:ascii="微软雅黑" w:hAnsi="微软雅黑" w:eastAsia="微软雅黑"/>
          <w:b/>
          <w:bCs/>
          <w:sz w:val="28"/>
          <w:szCs w:val="28"/>
          <w:shd w:val="pct10" w:color="auto" w:fill="FFFFFF"/>
        </w:rPr>
        <w:t>招聘岗位</w:t>
      </w:r>
    </w:p>
    <w:tbl>
      <w:tblPr>
        <w:tblStyle w:val="7"/>
        <w:tblW w:w="99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53"/>
        <w:gridCol w:w="1501"/>
        <w:gridCol w:w="717"/>
        <w:gridCol w:w="1046"/>
        <w:gridCol w:w="2143"/>
        <w:gridCol w:w="1244"/>
        <w:gridCol w:w="22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trPr>
        <w:tc>
          <w:tcPr>
            <w:tcW w:w="1053"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类别</w:t>
            </w:r>
          </w:p>
        </w:tc>
        <w:tc>
          <w:tcPr>
            <w:tcW w:w="1501"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岗位</w:t>
            </w:r>
          </w:p>
        </w:tc>
        <w:tc>
          <w:tcPr>
            <w:tcW w:w="717"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需求人数</w:t>
            </w:r>
          </w:p>
        </w:tc>
        <w:tc>
          <w:tcPr>
            <w:tcW w:w="1046"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学历要求</w:t>
            </w:r>
          </w:p>
        </w:tc>
        <w:tc>
          <w:tcPr>
            <w:tcW w:w="2143"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专业要求</w:t>
            </w:r>
          </w:p>
        </w:tc>
        <w:tc>
          <w:tcPr>
            <w:tcW w:w="1244"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工作地点</w:t>
            </w:r>
          </w:p>
        </w:tc>
        <w:tc>
          <w:tcPr>
            <w:tcW w:w="2263" w:type="dxa"/>
            <w:tcBorders>
              <w:top w:val="single" w:color="000000" w:sz="4" w:space="0"/>
              <w:left w:val="single" w:color="000000" w:sz="4" w:space="0"/>
              <w:bottom w:val="single" w:color="000000" w:sz="4" w:space="0"/>
              <w:right w:val="single" w:color="000000" w:sz="4" w:space="0"/>
            </w:tcBorders>
            <w:shd w:val="clear" w:color="auto" w:fill="D9D9D9"/>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薪资待遇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3" w:hRule="atLeast"/>
        </w:trPr>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运维类</w:t>
            </w:r>
          </w:p>
        </w:tc>
        <w:tc>
          <w:tcPr>
            <w:tcW w:w="15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运维技术员</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5</w:t>
            </w:r>
          </w:p>
        </w:tc>
        <w:tc>
          <w:tcPr>
            <w:tcW w:w="10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专科</w:t>
            </w:r>
          </w:p>
        </w:tc>
        <w:tc>
          <w:tcPr>
            <w:tcW w:w="2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机电、电气、电子、通信等相关专业</w:t>
            </w:r>
          </w:p>
        </w:tc>
        <w:tc>
          <w:tcPr>
            <w:tcW w:w="12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全国性调派</w:t>
            </w:r>
          </w:p>
        </w:tc>
        <w:tc>
          <w:tcPr>
            <w:tcW w:w="22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4500-6000元/月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6" w:hRule="atLeast"/>
        </w:trPr>
        <w:tc>
          <w:tcPr>
            <w:tcW w:w="25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合计</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5</w:t>
            </w:r>
          </w:p>
        </w:tc>
        <w:tc>
          <w:tcPr>
            <w:tcW w:w="66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outlineLvl w:val="9"/>
              <w:rPr>
                <w:rFonts w:hint="eastAsia" w:ascii="微软雅黑" w:hAnsi="微软雅黑" w:eastAsia="微软雅黑" w:cs="微软雅黑"/>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6" w:hRule="atLeast"/>
        </w:trPr>
        <w:tc>
          <w:tcPr>
            <w:tcW w:w="996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left"/>
              <w:textAlignment w:val="auto"/>
              <w:outlineLvl w:val="9"/>
              <w:rPr>
                <w:rFonts w:hint="default"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备注：非车间生产型岗位，不需倒班，能接受出差及全国性调派。</w:t>
            </w:r>
          </w:p>
        </w:tc>
      </w:tr>
    </w:tbl>
    <w:p>
      <w:pPr>
        <w:rPr>
          <w:rFonts w:hint="eastAsia" w:ascii="微软雅黑" w:hAnsi="微软雅黑" w:eastAsia="微软雅黑"/>
          <w:b/>
          <w:bCs/>
          <w:sz w:val="28"/>
          <w:szCs w:val="28"/>
          <w:shd w:val="pct10" w:color="auto" w:fill="FFFFFF"/>
        </w:rPr>
      </w:pPr>
      <w:r>
        <w:rPr>
          <w:rFonts w:hint="eastAsia" w:ascii="微软雅黑" w:hAnsi="微软雅黑" w:eastAsia="微软雅黑"/>
          <w:b/>
          <w:bCs/>
          <w:sz w:val="28"/>
          <w:szCs w:val="28"/>
          <w:shd w:val="pct10" w:color="auto" w:fill="FFFFFF"/>
        </w:rPr>
        <w:t>福利</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0" w:leftChars="0" w:hanging="420" w:firstLineChars="0"/>
        <w:jc w:val="both"/>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福利：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五险一金/商业保险/大病医疗/年终奖/带薪年假/年度体检/用餐补助/生日礼券</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0" w:leftChars="0" w:hanging="420" w:firstLineChars="0"/>
        <w:jc w:val="both"/>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住宿：</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公司免费提供宿舍，四人间，配有空调、热水器、独立卫生间</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0" w:leftChars="0" w:hanging="420" w:firstLineChars="0"/>
        <w:jc w:val="both"/>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食堂：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t>提供早、中、晚餐，菜品多样</w:t>
      </w:r>
    </w:p>
    <w:p>
      <w:pPr>
        <w:rPr>
          <w:rFonts w:ascii="微软雅黑" w:hAnsi="微软雅黑" w:eastAsia="微软雅黑"/>
          <w:b/>
          <w:bCs/>
          <w:sz w:val="28"/>
          <w:szCs w:val="28"/>
          <w:shd w:val="pct10" w:color="auto" w:fill="FFFFFF"/>
        </w:rPr>
      </w:pPr>
      <w:r>
        <w:rPr>
          <w:rFonts w:hint="eastAsia" w:ascii="微软雅黑" w:hAnsi="微软雅黑" w:eastAsia="微软雅黑"/>
          <w:b/>
          <w:bCs/>
          <w:sz w:val="28"/>
          <w:szCs w:val="28"/>
          <w:shd w:val="pct10" w:color="auto" w:fill="FFFFFF"/>
        </w:rPr>
        <w:t>简历投递</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outlineLvl w:val="9"/>
        <w:rPr>
          <w:rFonts w:hint="eastAsia" w:ascii="微软雅黑" w:hAnsi="微软雅黑" w:eastAsia="微软雅黑" w:cs="微软雅黑"/>
          <w:sz w:val="24"/>
          <w:szCs w:val="24"/>
          <w:vertAlign w:val="baseline"/>
        </w:rPr>
      </w:pPr>
      <w:r>
        <w:rPr>
          <w:rFonts w:hint="eastAsia" w:ascii="微软雅黑" w:hAnsi="微软雅黑" w:eastAsia="微软雅黑" w:cs="微软雅黑"/>
          <w:sz w:val="24"/>
          <w:szCs w:val="24"/>
          <w:vertAlign w:val="baseline"/>
        </w:rPr>
        <w:t>电子邮箱投递简历，发送邮箱：</w:t>
      </w:r>
      <w:r>
        <w:rPr>
          <w:rFonts w:hint="eastAsia" w:ascii="微软雅黑" w:hAnsi="微软雅黑" w:eastAsia="微软雅黑" w:cs="微软雅黑"/>
          <w:sz w:val="24"/>
          <w:szCs w:val="24"/>
          <w:vertAlign w:val="baseline"/>
        </w:rPr>
        <w:fldChar w:fldCharType="begin"/>
      </w:r>
      <w:r>
        <w:rPr>
          <w:rFonts w:hint="eastAsia" w:ascii="微软雅黑" w:hAnsi="微软雅黑" w:eastAsia="微软雅黑" w:cs="微软雅黑"/>
          <w:sz w:val="24"/>
          <w:szCs w:val="24"/>
          <w:vertAlign w:val="baseline"/>
        </w:rPr>
        <w:instrText xml:space="preserve"> HYPERLINK "mailto:hr@latticelighting.com" </w:instrText>
      </w:r>
      <w:r>
        <w:rPr>
          <w:rFonts w:hint="eastAsia" w:ascii="微软雅黑" w:hAnsi="微软雅黑" w:eastAsia="微软雅黑" w:cs="微软雅黑"/>
          <w:sz w:val="24"/>
          <w:szCs w:val="24"/>
          <w:vertAlign w:val="baseline"/>
        </w:rPr>
        <w:fldChar w:fldCharType="separate"/>
      </w:r>
      <w:r>
        <w:rPr>
          <w:rFonts w:hint="eastAsia" w:ascii="微软雅黑" w:hAnsi="微软雅黑" w:eastAsia="微软雅黑" w:cs="微软雅黑"/>
          <w:sz w:val="24"/>
          <w:szCs w:val="24"/>
          <w:vertAlign w:val="baseline"/>
        </w:rPr>
        <w:t>hr@latticelighting.com</w:t>
      </w:r>
      <w:r>
        <w:rPr>
          <w:rFonts w:hint="eastAsia" w:ascii="微软雅黑" w:hAnsi="微软雅黑" w:eastAsia="微软雅黑" w:cs="微软雅黑"/>
          <w:sz w:val="24"/>
          <w:szCs w:val="24"/>
          <w:vertAlign w:val="baseline"/>
        </w:rPr>
        <w:fldChar w:fldCharType="end"/>
      </w:r>
      <w:r>
        <w:rPr>
          <w:rFonts w:hint="eastAsia" w:ascii="微软雅黑" w:hAnsi="微软雅黑" w:eastAsia="微软雅黑" w:cs="微软雅黑"/>
          <w:sz w:val="24"/>
          <w:szCs w:val="24"/>
          <w:vertAlign w:val="baseline"/>
        </w:rPr>
        <w:t xml:space="preserve"> 或</w:t>
      </w:r>
      <w:r>
        <w:rPr>
          <w:rFonts w:hint="eastAsia" w:ascii="微软雅黑" w:hAnsi="微软雅黑" w:eastAsia="微软雅黑" w:cs="微软雅黑"/>
          <w:sz w:val="24"/>
          <w:szCs w:val="24"/>
          <w:vertAlign w:val="baseline"/>
          <w:lang w:val="en-US" w:eastAsia="zh-CN"/>
        </w:rPr>
        <w:t>150063233</w:t>
      </w:r>
      <w:r>
        <w:rPr>
          <w:rFonts w:hint="eastAsia" w:ascii="微软雅黑" w:hAnsi="微软雅黑" w:eastAsia="微软雅黑" w:cs="微软雅黑"/>
          <w:sz w:val="24"/>
          <w:szCs w:val="24"/>
          <w:vertAlign w:val="baseline"/>
        </w:rPr>
        <w:t>@qq.com</w:t>
      </w:r>
    </w:p>
    <w:sectPr>
      <w:pgSz w:w="11906" w:h="16838"/>
      <w:pgMar w:top="737" w:right="1134" w:bottom="737"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C5D6F7"/>
    <w:multiLevelType w:val="singleLevel"/>
    <w:tmpl w:val="7BC5D6F7"/>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NGNhYzNlYzc5YjM1MmQ5ZTc5MzQwZGM0OTU0NTgifQ=="/>
    <w:docVar w:name="KSO_WPS_MARK_KEY" w:val="0ccf1b74-b068-4751-92e3-72b3e96e7f19"/>
  </w:docVars>
  <w:rsids>
    <w:rsidRoot w:val="001F4092"/>
    <w:rsid w:val="00050868"/>
    <w:rsid w:val="0008525B"/>
    <w:rsid w:val="000A4303"/>
    <w:rsid w:val="000C5ABF"/>
    <w:rsid w:val="0017032B"/>
    <w:rsid w:val="001F4092"/>
    <w:rsid w:val="00216778"/>
    <w:rsid w:val="00246947"/>
    <w:rsid w:val="00255513"/>
    <w:rsid w:val="00271A01"/>
    <w:rsid w:val="00274462"/>
    <w:rsid w:val="002D0666"/>
    <w:rsid w:val="00321EA4"/>
    <w:rsid w:val="003226F3"/>
    <w:rsid w:val="003A3759"/>
    <w:rsid w:val="00443D90"/>
    <w:rsid w:val="00496A20"/>
    <w:rsid w:val="004A07FC"/>
    <w:rsid w:val="004A343B"/>
    <w:rsid w:val="004A65CC"/>
    <w:rsid w:val="004D4620"/>
    <w:rsid w:val="00502291"/>
    <w:rsid w:val="00577E10"/>
    <w:rsid w:val="005C0F1B"/>
    <w:rsid w:val="005C1AFF"/>
    <w:rsid w:val="005E3A1A"/>
    <w:rsid w:val="005F1942"/>
    <w:rsid w:val="005F21C2"/>
    <w:rsid w:val="006259F2"/>
    <w:rsid w:val="006A69B9"/>
    <w:rsid w:val="006B616E"/>
    <w:rsid w:val="006C1790"/>
    <w:rsid w:val="006C6808"/>
    <w:rsid w:val="0073695E"/>
    <w:rsid w:val="0077604B"/>
    <w:rsid w:val="007A104B"/>
    <w:rsid w:val="007D58E5"/>
    <w:rsid w:val="007E4C38"/>
    <w:rsid w:val="007F4C9E"/>
    <w:rsid w:val="00817191"/>
    <w:rsid w:val="00823DDB"/>
    <w:rsid w:val="008F5075"/>
    <w:rsid w:val="009147CB"/>
    <w:rsid w:val="00942095"/>
    <w:rsid w:val="00954486"/>
    <w:rsid w:val="00981F62"/>
    <w:rsid w:val="00987613"/>
    <w:rsid w:val="009A7144"/>
    <w:rsid w:val="009E0B04"/>
    <w:rsid w:val="00A11704"/>
    <w:rsid w:val="00A32649"/>
    <w:rsid w:val="00A346CC"/>
    <w:rsid w:val="00A97EE5"/>
    <w:rsid w:val="00B0022D"/>
    <w:rsid w:val="00B22277"/>
    <w:rsid w:val="00B2781D"/>
    <w:rsid w:val="00B6237D"/>
    <w:rsid w:val="00BD4A83"/>
    <w:rsid w:val="00BE12F7"/>
    <w:rsid w:val="00C053A2"/>
    <w:rsid w:val="00C84D10"/>
    <w:rsid w:val="00C90FAD"/>
    <w:rsid w:val="00CB35A2"/>
    <w:rsid w:val="00CC37CB"/>
    <w:rsid w:val="00CD0319"/>
    <w:rsid w:val="00CD3DAA"/>
    <w:rsid w:val="00D1515C"/>
    <w:rsid w:val="00D33664"/>
    <w:rsid w:val="00D42FB8"/>
    <w:rsid w:val="00D7107F"/>
    <w:rsid w:val="00DA72A3"/>
    <w:rsid w:val="00DE133E"/>
    <w:rsid w:val="00E4021E"/>
    <w:rsid w:val="00EC2FE5"/>
    <w:rsid w:val="00EC4D67"/>
    <w:rsid w:val="00ED37B0"/>
    <w:rsid w:val="00EE1560"/>
    <w:rsid w:val="00F75685"/>
    <w:rsid w:val="00FA5C0A"/>
    <w:rsid w:val="00FA5DCC"/>
    <w:rsid w:val="00FE7C5D"/>
    <w:rsid w:val="00FF3BDC"/>
    <w:rsid w:val="042952A7"/>
    <w:rsid w:val="05113731"/>
    <w:rsid w:val="055C132D"/>
    <w:rsid w:val="0854278F"/>
    <w:rsid w:val="0BA53A2D"/>
    <w:rsid w:val="107F50B4"/>
    <w:rsid w:val="11BF53CB"/>
    <w:rsid w:val="13654F58"/>
    <w:rsid w:val="139D4FEA"/>
    <w:rsid w:val="13AC16D1"/>
    <w:rsid w:val="14595396"/>
    <w:rsid w:val="15477903"/>
    <w:rsid w:val="15A7549B"/>
    <w:rsid w:val="18222318"/>
    <w:rsid w:val="18BD12A5"/>
    <w:rsid w:val="1954439D"/>
    <w:rsid w:val="1A58516C"/>
    <w:rsid w:val="1A6745A4"/>
    <w:rsid w:val="1CFD4D4B"/>
    <w:rsid w:val="1E9B481C"/>
    <w:rsid w:val="1EA363D5"/>
    <w:rsid w:val="21252652"/>
    <w:rsid w:val="21383F59"/>
    <w:rsid w:val="213A562F"/>
    <w:rsid w:val="22907DE4"/>
    <w:rsid w:val="252B560C"/>
    <w:rsid w:val="2657064D"/>
    <w:rsid w:val="279F35CF"/>
    <w:rsid w:val="284A72E9"/>
    <w:rsid w:val="2BFA7026"/>
    <w:rsid w:val="2EBD38FA"/>
    <w:rsid w:val="30884476"/>
    <w:rsid w:val="34824CAD"/>
    <w:rsid w:val="35695F7D"/>
    <w:rsid w:val="36C43624"/>
    <w:rsid w:val="385950D4"/>
    <w:rsid w:val="38926838"/>
    <w:rsid w:val="390A2872"/>
    <w:rsid w:val="39607002"/>
    <w:rsid w:val="3AF13D2B"/>
    <w:rsid w:val="3E0F2D9C"/>
    <w:rsid w:val="40A47108"/>
    <w:rsid w:val="40F54BF5"/>
    <w:rsid w:val="417E5006"/>
    <w:rsid w:val="4677583C"/>
    <w:rsid w:val="46A613B3"/>
    <w:rsid w:val="4A0507B7"/>
    <w:rsid w:val="4D5679DC"/>
    <w:rsid w:val="4E8434D6"/>
    <w:rsid w:val="4F290BF4"/>
    <w:rsid w:val="50D87345"/>
    <w:rsid w:val="545D6B38"/>
    <w:rsid w:val="54B21CBA"/>
    <w:rsid w:val="554F7B33"/>
    <w:rsid w:val="55962CDB"/>
    <w:rsid w:val="56651B49"/>
    <w:rsid w:val="578E5B3B"/>
    <w:rsid w:val="58956658"/>
    <w:rsid w:val="59873999"/>
    <w:rsid w:val="5A9B2CB3"/>
    <w:rsid w:val="5B2E5BE9"/>
    <w:rsid w:val="5B756A1A"/>
    <w:rsid w:val="5CA06C54"/>
    <w:rsid w:val="5D5042DA"/>
    <w:rsid w:val="5EAF519E"/>
    <w:rsid w:val="61986851"/>
    <w:rsid w:val="61EC41DD"/>
    <w:rsid w:val="62782D4F"/>
    <w:rsid w:val="635D341B"/>
    <w:rsid w:val="63C3083E"/>
    <w:rsid w:val="69236EB5"/>
    <w:rsid w:val="6AD765C0"/>
    <w:rsid w:val="6BCA3618"/>
    <w:rsid w:val="6BF8536C"/>
    <w:rsid w:val="6D062D75"/>
    <w:rsid w:val="71622AD0"/>
    <w:rsid w:val="71D82C68"/>
    <w:rsid w:val="72AE5620"/>
    <w:rsid w:val="73425EEF"/>
    <w:rsid w:val="7977760A"/>
    <w:rsid w:val="7C4B6A9D"/>
    <w:rsid w:val="7C8D4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6"/>
    <w:qFormat/>
    <w:uiPriority w:val="99"/>
    <w:pPr>
      <w:ind w:firstLine="540" w:firstLineChars="257"/>
    </w:pPr>
    <w:rPr>
      <w:rFonts w:ascii="Times New Roman" w:hAnsi="Times New Roman" w:eastAsia="宋体" w:cs="Times New Roman"/>
      <w:szCs w:val="24"/>
    </w:rPr>
  </w:style>
  <w:style w:type="paragraph" w:styleId="3">
    <w:name w:val="Balloon Text"/>
    <w:basedOn w:val="1"/>
    <w:link w:val="15"/>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qFormat/>
    <w:uiPriority w:val="99"/>
    <w:rPr>
      <w:rFonts w:cs="Times New Roman"/>
      <w:color w:val="0000FF"/>
      <w:u w:val="single"/>
    </w:rPr>
  </w:style>
  <w:style w:type="paragraph" w:styleId="10">
    <w:name w:val="List Paragraph"/>
    <w:basedOn w:val="1"/>
    <w:qFormat/>
    <w:uiPriority w:val="34"/>
    <w:pPr>
      <w:ind w:firstLine="420" w:firstLineChars="200"/>
    </w:pPr>
  </w:style>
  <w:style w:type="table" w:customStyle="1" w:styleId="11">
    <w:name w:val="Grid Table 4 Accent 6"/>
    <w:basedOn w:val="7"/>
    <w:qFormat/>
    <w:uiPriority w:val="49"/>
    <w:tblPr>
      <w:tblBorders>
        <w:top w:val="single" w:color="C4BCC5" w:themeColor="accent6" w:themeTint="99" w:sz="4" w:space="0"/>
        <w:left w:val="single" w:color="C4BCC5" w:themeColor="accent6" w:themeTint="99" w:sz="4" w:space="0"/>
        <w:bottom w:val="single" w:color="C4BCC5" w:themeColor="accent6" w:themeTint="99" w:sz="4" w:space="0"/>
        <w:right w:val="single" w:color="C4BCC5" w:themeColor="accent6" w:themeTint="99" w:sz="4" w:space="0"/>
        <w:insideH w:val="single" w:color="C4BCC5" w:themeColor="accent6" w:themeTint="99" w:sz="4" w:space="0"/>
        <w:insideV w:val="single" w:color="C4BCC5" w:themeColor="accent6"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9D90A0" w:themeColor="accent6" w:sz="4" w:space="0"/>
          <w:left w:val="single" w:color="9D90A0" w:themeColor="accent6" w:sz="4" w:space="0"/>
          <w:bottom w:val="single" w:color="9D90A0" w:themeColor="accent6" w:sz="4" w:space="0"/>
          <w:right w:val="single" w:color="9D90A0" w:themeColor="accent6" w:sz="4" w:space="0"/>
          <w:insideH w:val="nil"/>
          <w:insideV w:val="nil"/>
        </w:tcBorders>
        <w:shd w:val="clear" w:color="auto" w:fill="9D90A0" w:themeFill="accent6"/>
      </w:tcPr>
    </w:tblStylePr>
    <w:tblStylePr w:type="lastRow">
      <w:rPr>
        <w:b/>
        <w:bCs/>
      </w:rPr>
      <w:tcPr>
        <w:tcBorders>
          <w:top w:val="double" w:color="9D90A0" w:themeColor="accent6" w:sz="4" w:space="0"/>
        </w:tcBorders>
      </w:tcPr>
    </w:tblStylePr>
    <w:tblStylePr w:type="firstCol">
      <w:rPr>
        <w:b/>
        <w:bCs/>
      </w:rPr>
    </w:tblStylePr>
    <w:tblStylePr w:type="lastCol">
      <w:rPr>
        <w:b/>
        <w:bCs/>
      </w:rPr>
    </w:tblStylePr>
    <w:tblStylePr w:type="band1Vert">
      <w:tcPr>
        <w:shd w:val="clear" w:color="auto" w:fill="EBE8EB" w:themeFill="accent6" w:themeFillTint="33"/>
      </w:tcPr>
    </w:tblStylePr>
    <w:tblStylePr w:type="band1Horz">
      <w:tcPr>
        <w:shd w:val="clear" w:color="auto" w:fill="EBE8EB" w:themeFill="accent6" w:themeFillTint="33"/>
      </w:tcPr>
    </w:tblStylePr>
  </w:style>
  <w:style w:type="character" w:customStyle="1" w:styleId="12">
    <w:name w:val="页眉 Char"/>
    <w:basedOn w:val="8"/>
    <w:link w:val="5"/>
    <w:qFormat/>
    <w:uiPriority w:val="99"/>
    <w:rPr>
      <w:sz w:val="18"/>
      <w:szCs w:val="18"/>
    </w:rPr>
  </w:style>
  <w:style w:type="character" w:customStyle="1" w:styleId="13">
    <w:name w:val="页脚 Char"/>
    <w:basedOn w:val="8"/>
    <w:link w:val="4"/>
    <w:qFormat/>
    <w:uiPriority w:val="99"/>
    <w:rPr>
      <w:sz w:val="18"/>
      <w:szCs w:val="18"/>
    </w:rPr>
  </w:style>
  <w:style w:type="paragraph" w:customStyle="1" w:styleId="14">
    <w:name w:val="p0"/>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5">
    <w:name w:val="批注框文本 Char"/>
    <w:basedOn w:val="8"/>
    <w:link w:val="3"/>
    <w:semiHidden/>
    <w:qFormat/>
    <w:uiPriority w:val="99"/>
    <w:rPr>
      <w:sz w:val="18"/>
      <w:szCs w:val="18"/>
    </w:rPr>
  </w:style>
  <w:style w:type="character" w:customStyle="1" w:styleId="16">
    <w:name w:val="正文文本缩进 Char"/>
    <w:basedOn w:val="8"/>
    <w:link w:val="2"/>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蓝色暖调">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75BF6-5A74-4030-B2D2-5433A8D6499D}">
  <ds:schemaRefs/>
</ds:datastoreItem>
</file>

<file path=docProps/app.xml><?xml version="1.0" encoding="utf-8"?>
<Properties xmlns="http://schemas.openxmlformats.org/officeDocument/2006/extended-properties" xmlns:vt="http://schemas.openxmlformats.org/officeDocument/2006/docPropsVTypes">
  <Template>Normal</Template>
  <Pages>1</Pages>
  <Words>513</Words>
  <Characters>574</Characters>
  <Lines>10</Lines>
  <Paragraphs>3</Paragraphs>
  <TotalTime>23</TotalTime>
  <ScaleCrop>false</ScaleCrop>
  <LinksUpToDate>false</LinksUpToDate>
  <CharactersWithSpaces>577</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2019-09-25T05:31:00Z</dcterms:created>
  <dc:creator>pretty zheng</dc:creator>
  <cp:lastModifiedBy>WPS_1694303832</cp:lastModifiedBy>
  <cp:lastPrinted>2019-09-24T01:08:00Z</cp:lastPrinted>
  <dcterms:modified xsi:type="dcterms:W3CDTF">2024-05-08T09:11:24Z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D29DEA669E8E423AA10D89F70BCBD1A2</vt:lpwstr>
  </property>
</Properties>
</file>