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600" w:lineRule="exact"/>
        <w:ind w:firstLine="880" w:firstLineChars="200"/>
        <w:jc w:val="center"/>
        <w:textAlignment w:val="auto"/>
        <w:rPr>
          <w:rFonts w:hint="eastAsia" w:ascii="方正小标宋_GBK" w:hAnsi="方正小标宋_GBK" w:eastAsia="方正小标宋_GBK" w:cs="方正小标宋_GBK"/>
          <w:b w:val="0"/>
          <w:bCs w:val="0"/>
          <w:color w:val="000000" w:themeColor="text1"/>
          <w:sz w:val="44"/>
          <w:szCs w:val="44"/>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44"/>
          <w:szCs w:val="44"/>
          <w:lang w:val="en-US" w:eastAsia="zh-CN"/>
          <w14:textFill>
            <w14:solidFill>
              <w14:schemeClr w14:val="tx1"/>
            </w14:solidFill>
          </w14:textFill>
        </w:rPr>
        <w:t>阳江市鼎兴达企业管理有限公司</w:t>
      </w:r>
    </w:p>
    <w:p>
      <w:pPr>
        <w:keepNext w:val="0"/>
        <w:keepLines w:val="0"/>
        <w:pageBreakBefore w:val="0"/>
        <w:widowControl w:val="0"/>
        <w:kinsoku/>
        <w:wordWrap/>
        <w:overflowPunct/>
        <w:topLinePunct w:val="0"/>
        <w:autoSpaceDE/>
        <w:autoSpaceDN/>
        <w:bidi w:val="0"/>
        <w:adjustRightInd/>
        <w:snapToGrid w:val="0"/>
        <w:spacing w:line="600" w:lineRule="exact"/>
        <w:ind w:firstLine="880" w:firstLineChars="200"/>
        <w:jc w:val="center"/>
        <w:textAlignment w:val="auto"/>
        <w:rPr>
          <w:rFonts w:hint="default" w:ascii="方正小标宋_GBK" w:hAnsi="方正小标宋_GBK" w:eastAsia="方正小标宋_GBK" w:cs="方正小标宋_GBK"/>
          <w:b w:val="0"/>
          <w:bCs w:val="0"/>
          <w:color w:val="000000" w:themeColor="text1"/>
          <w:sz w:val="44"/>
          <w:szCs w:val="44"/>
          <w:lang w:val="en-US" w:eastAsia="zh-CN"/>
          <w14:textFill>
            <w14:solidFill>
              <w14:schemeClr w14:val="tx1"/>
            </w14:solidFill>
          </w14:textFill>
        </w:rPr>
      </w:pPr>
      <w:r>
        <w:rPr>
          <w:rFonts w:hint="eastAsia" w:ascii="方正小标宋_GBK" w:hAnsi="方正小标宋_GBK" w:eastAsia="方正小标宋_GBK" w:cs="方正小标宋_GBK"/>
          <w:b w:val="0"/>
          <w:bCs w:val="0"/>
          <w:color w:val="000000" w:themeColor="text1"/>
          <w:sz w:val="44"/>
          <w:szCs w:val="44"/>
          <w:lang w:val="en-US" w:eastAsia="zh-CN"/>
          <w14:textFill>
            <w14:solidFill>
              <w14:schemeClr w14:val="tx1"/>
            </w14:solidFill>
          </w14:textFill>
        </w:rPr>
        <w:t>招聘简章</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黑体" w:hAnsi="黑体" w:eastAsia="黑体" w:cs="黑体"/>
          <w:b w:val="0"/>
          <w:bCs w:val="0"/>
          <w:color w:val="000000" w:themeColor="text1"/>
          <w:sz w:val="32"/>
          <w:szCs w:val="32"/>
          <w:lang w:val="en-US" w:eastAsia="zh-CN"/>
          <w14:textFill>
            <w14:solidFill>
              <w14:schemeClr w14:val="tx1"/>
            </w14:solidFill>
          </w14:textFill>
        </w:rPr>
      </w:pPr>
      <w:r>
        <w:rPr>
          <w:rFonts w:hint="eastAsia" w:ascii="黑体" w:hAnsi="黑体" w:eastAsia="黑体" w:cs="黑体"/>
          <w:b w:val="0"/>
          <w:bCs w:val="0"/>
          <w:color w:val="000000" w:themeColor="text1"/>
          <w:sz w:val="32"/>
          <w:szCs w:val="32"/>
          <w:lang w:val="en-US" w:eastAsia="zh-CN"/>
          <w14:textFill>
            <w14:solidFill>
              <w14:schemeClr w14:val="tx1"/>
            </w14:solidFill>
          </w14:textFill>
        </w:rPr>
        <w:t>一、公司简介</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阳江市鼎兴达企业管理有限公司是一家由南方电网广东电网公司和阳江市交通投资集团有限公司共同持股管理的央地合作国有企业，现有员工近700人。</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鼎兴达公司现已发展成一家以电力工程设计、施工、监理以及电力运维、光伏、充电桩、智慧综合能源等为主营业务，同时集咨询培训、室内装修、广告传媒以及工器具检测等多元化业务于一身的国有综合性服务企业，旗下拥有7家全资子公司和7家参股企业，拥有一批技术力量雄厚、管理体系先进的骨干企业，主要资质包括电力设计乙级，施工总承包二级资质，电力工程监理甲级，建筑装修装饰二级等，是阳江地区规模最大的电力工程建设及服务集团公司。</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二、下属公司组成</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施工板块（3家）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江城区：阳江市凯源电力发展有限公司</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阳春市：阳春市春华电力发展有限公司</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阳东区：阳江市阳东区东电安装维修有限公司</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设计板块（1家）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江城区：阳江市凯源电力设计有限公司</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监理板块（1家）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江城区：阳江市恒源</w:t>
      </w:r>
      <w:r>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t>工程咨询有限公司</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综合服务板块（1家）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江城区：</w:t>
      </w:r>
      <w:r>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t>广东汇元科技发展有限公司</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综合能源板块（1家）</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江城区：</w:t>
      </w:r>
      <w:r>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t>阳江市恒新综合能源服务有限公司</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三、招聘岗位</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pPr>
              <w:pStyle w:val="3"/>
              <w:keepNext w:val="0"/>
              <w:keepLines w:val="0"/>
              <w:pageBreakBefore w:val="0"/>
              <w:widowControl/>
              <w:kinsoku/>
              <w:wordWrap/>
              <w:overflowPunct/>
              <w:topLinePunct w:val="0"/>
              <w:autoSpaceDE/>
              <w:autoSpaceDN/>
              <w:bidi w:val="0"/>
              <w:adjustRightInd/>
              <w:snapToGrid/>
              <w:spacing w:line="200" w:lineRule="exact"/>
              <w:textAlignment w:val="auto"/>
              <w:rPr>
                <w:rFonts w:hint="default"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t>职位名称</w:t>
            </w:r>
          </w:p>
        </w:tc>
        <w:tc>
          <w:tcPr>
            <w:tcW w:w="2130" w:type="dxa"/>
          </w:tcPr>
          <w:p>
            <w:pPr>
              <w:pStyle w:val="3"/>
              <w:keepNext w:val="0"/>
              <w:keepLines w:val="0"/>
              <w:pageBreakBefore w:val="0"/>
              <w:widowControl/>
              <w:kinsoku/>
              <w:wordWrap/>
              <w:overflowPunct/>
              <w:topLinePunct w:val="0"/>
              <w:autoSpaceDE/>
              <w:autoSpaceDN/>
              <w:bidi w:val="0"/>
              <w:adjustRightInd/>
              <w:snapToGrid/>
              <w:spacing w:line="200" w:lineRule="exact"/>
              <w:textAlignment w:val="auto"/>
              <w:rPr>
                <w:rFonts w:hint="default"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t>岗位要求</w:t>
            </w:r>
          </w:p>
        </w:tc>
        <w:tc>
          <w:tcPr>
            <w:tcW w:w="2131" w:type="dxa"/>
          </w:tcPr>
          <w:p>
            <w:pPr>
              <w:pStyle w:val="3"/>
              <w:keepNext w:val="0"/>
              <w:keepLines w:val="0"/>
              <w:pageBreakBefore w:val="0"/>
              <w:widowControl/>
              <w:kinsoku/>
              <w:wordWrap/>
              <w:overflowPunct/>
              <w:topLinePunct w:val="0"/>
              <w:autoSpaceDE/>
              <w:autoSpaceDN/>
              <w:bidi w:val="0"/>
              <w:adjustRightInd/>
              <w:snapToGrid/>
              <w:spacing w:line="200" w:lineRule="exact"/>
              <w:textAlignment w:val="auto"/>
              <w:rPr>
                <w:rFonts w:hint="default"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t>薪酬范围（元）</w:t>
            </w:r>
          </w:p>
        </w:tc>
        <w:tc>
          <w:tcPr>
            <w:tcW w:w="2131" w:type="dxa"/>
          </w:tcPr>
          <w:p>
            <w:pPr>
              <w:pStyle w:val="3"/>
              <w:keepNext w:val="0"/>
              <w:keepLines w:val="0"/>
              <w:pageBreakBefore w:val="0"/>
              <w:widowControl/>
              <w:kinsoku/>
              <w:wordWrap/>
              <w:overflowPunct/>
              <w:topLinePunct w:val="0"/>
              <w:autoSpaceDE/>
              <w:autoSpaceDN/>
              <w:bidi w:val="0"/>
              <w:adjustRightInd/>
              <w:snapToGrid/>
              <w:spacing w:line="200" w:lineRule="exact"/>
              <w:textAlignment w:val="auto"/>
              <w:rPr>
                <w:rFonts w:hint="default"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t>对应专业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trPr>
        <w:tc>
          <w:tcPr>
            <w:tcW w:w="2130" w:type="dxa"/>
          </w:tcPr>
          <w:p>
            <w:pPr>
              <w:pStyle w:val="3"/>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pPr>
          </w:p>
          <w:p>
            <w:pPr>
              <w:pStyle w:val="3"/>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t>主网施工调试班班员</w:t>
            </w:r>
          </w:p>
        </w:tc>
        <w:tc>
          <w:tcPr>
            <w:tcW w:w="2130" w:type="dxa"/>
          </w:tcPr>
          <w:p>
            <w:pPr>
              <w:pStyle w:val="3"/>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pPr>
          </w:p>
          <w:p>
            <w:pPr>
              <w:pStyle w:val="3"/>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t>负责主网电气设备安装、调试工作</w:t>
            </w:r>
          </w:p>
        </w:tc>
        <w:tc>
          <w:tcPr>
            <w:tcW w:w="2131" w:type="dxa"/>
            <w:vMerge w:val="restart"/>
          </w:tcPr>
          <w:p>
            <w:pPr>
              <w:pStyle w:val="3"/>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lang w:val="en-US" w:eastAsia="zh-CN"/>
              </w:rPr>
            </w:pPr>
          </w:p>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lang w:val="en-US" w:eastAsia="zh-CN"/>
              </w:rPr>
            </w:pPr>
          </w:p>
          <w:p>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lang w:val="en-US" w:eastAsia="zh-CN"/>
              </w:rPr>
            </w:pPr>
          </w:p>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lang w:val="en-US" w:eastAsia="zh-CN"/>
              </w:rPr>
            </w:pPr>
            <w:r>
              <w:rPr>
                <w:rFonts w:hint="eastAsia"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t>年薪7-11w</w:t>
            </w:r>
          </w:p>
        </w:tc>
        <w:tc>
          <w:tcPr>
            <w:tcW w:w="2131" w:type="dxa"/>
            <w:vMerge w:val="restart"/>
          </w:tcPr>
          <w:p>
            <w:pPr>
              <w:pStyle w:val="3"/>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b w:val="0"/>
                <w:bCs w:val="0"/>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4"/>
                <w:szCs w:val="24"/>
                <w:highlight w:val="none"/>
                <w:lang w:val="en-US" w:eastAsia="zh-CN" w:bidi="ar-SA"/>
                <w14:textFill>
                  <w14:solidFill>
                    <w14:schemeClr w14:val="tx1"/>
                  </w14:solidFill>
                </w14:textFill>
              </w:rPr>
              <w:t>①电力系统自动化技术</w:t>
            </w:r>
          </w:p>
          <w:p>
            <w:pPr>
              <w:pStyle w:val="3"/>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b w:val="0"/>
                <w:bCs w:val="0"/>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4"/>
                <w:szCs w:val="24"/>
                <w:highlight w:val="none"/>
                <w:lang w:val="en-US" w:eastAsia="zh-CN" w:bidi="ar-SA"/>
                <w14:textFill>
                  <w14:solidFill>
                    <w14:schemeClr w14:val="tx1"/>
                  </w14:solidFill>
                </w14:textFill>
              </w:rPr>
              <w:t>②电力系统继电保护技术</w:t>
            </w:r>
          </w:p>
          <w:p>
            <w:pPr>
              <w:pStyle w:val="3"/>
              <w:keepNext w:val="0"/>
              <w:keepLines w:val="0"/>
              <w:pageBreakBefore w:val="0"/>
              <w:widowControl/>
              <w:kinsoku/>
              <w:wordWrap/>
              <w:overflowPunct/>
              <w:topLinePunct w:val="0"/>
              <w:autoSpaceDE/>
              <w:autoSpaceDN/>
              <w:bidi w:val="0"/>
              <w:adjustRightInd/>
              <w:snapToGrid/>
              <w:spacing w:line="280" w:lineRule="exact"/>
              <w:textAlignment w:val="auto"/>
              <w:rPr>
                <w:rFonts w:hint="eastAsia" w:ascii="仿宋_GB2312" w:hAnsi="仿宋_GB2312" w:eastAsia="仿宋_GB2312" w:cs="仿宋_GB2312"/>
                <w:b w:val="0"/>
                <w:bCs w:val="0"/>
                <w:color w:val="000000" w:themeColor="text1"/>
                <w:kern w:val="2"/>
                <w:sz w:val="24"/>
                <w:szCs w:val="24"/>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4"/>
                <w:szCs w:val="24"/>
                <w:highlight w:val="none"/>
                <w:lang w:val="en-US" w:eastAsia="zh-CN" w:bidi="ar-SA"/>
                <w14:textFill>
                  <w14:solidFill>
                    <w14:schemeClr w14:val="tx1"/>
                  </w14:solidFill>
                </w14:textFill>
              </w:rPr>
              <w:t>③输配电工程技术</w:t>
            </w:r>
          </w:p>
          <w:p>
            <w:pPr>
              <w:pStyle w:val="3"/>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4"/>
                <w:szCs w:val="24"/>
                <w:highlight w:val="none"/>
                <w:lang w:val="en-US" w:eastAsia="zh-CN" w:bidi="ar-SA"/>
                <w14:textFill>
                  <w14:solidFill>
                    <w14:schemeClr w14:val="tx1"/>
                  </w14:solidFill>
                </w14:textFill>
              </w:rPr>
              <w:t>④风力发电工程技术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trPr>
        <w:tc>
          <w:tcPr>
            <w:tcW w:w="2130" w:type="dxa"/>
          </w:tcPr>
          <w:p>
            <w:pPr>
              <w:pStyle w:val="3"/>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t>配网调试及自动化班班员</w:t>
            </w:r>
          </w:p>
        </w:tc>
        <w:tc>
          <w:tcPr>
            <w:tcW w:w="2130" w:type="dxa"/>
          </w:tcPr>
          <w:p>
            <w:pPr>
              <w:pStyle w:val="3"/>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t>负责配网电气设备调试工作</w:t>
            </w:r>
          </w:p>
        </w:tc>
        <w:tc>
          <w:tcPr>
            <w:tcW w:w="2131" w:type="dxa"/>
            <w:vMerge w:val="continue"/>
          </w:tcPr>
          <w:p>
            <w:pPr>
              <w:pStyle w:val="3"/>
              <w:rPr>
                <w:rFonts w:hint="default"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pPr>
          </w:p>
        </w:tc>
        <w:tc>
          <w:tcPr>
            <w:tcW w:w="2131" w:type="dxa"/>
            <w:vMerge w:val="continue"/>
          </w:tcPr>
          <w:p>
            <w:pPr>
              <w:pStyle w:val="3"/>
              <w:rPr>
                <w:rFonts w:hint="default" w:ascii="仿宋_GB2312" w:hAnsi="仿宋_GB2312" w:eastAsia="仿宋_GB2312" w:cs="仿宋_GB2312"/>
                <w:b w:val="0"/>
                <w:bCs w:val="0"/>
                <w:color w:val="000000" w:themeColor="text1"/>
                <w:kern w:val="2"/>
                <w:sz w:val="28"/>
                <w:szCs w:val="28"/>
                <w:highlight w:val="none"/>
                <w:lang w:val="en-US" w:eastAsia="zh-CN" w:bidi="ar-SA"/>
                <w14:textFill>
                  <w14:solidFill>
                    <w14:schemeClr w14:val="tx1"/>
                  </w14:solidFill>
                </w14:textFill>
              </w:rPr>
            </w:pPr>
          </w:p>
        </w:tc>
      </w:tr>
    </w:tbl>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四、员工福利</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t>（1）按国家规定购买五险一金，额外购买地方公务员医疗补助、高额补充医疗保险以及</w:t>
      </w:r>
      <w:bookmarkStart w:id="0" w:name="_GoBack"/>
      <w:bookmarkEnd w:id="0"/>
      <w:r>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t>团体意外伤害险等。</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t>（2）娱乐生活:</w:t>
      </w:r>
      <w:r>
        <w:rPr>
          <w:rFonts w:hint="eastAsia" w:ascii="仿宋_GB2312" w:hAnsi="仿宋_GB2312" w:eastAsia="仿宋_GB2312" w:cs="仿宋_GB2312"/>
          <w:color w:val="000000" w:themeColor="text1"/>
          <w:sz w:val="32"/>
          <w:szCs w:val="32"/>
          <w:lang w:eastAsia="zh-CN"/>
          <w14:textFill>
            <w14:solidFill>
              <w14:schemeClr w14:val="tx1"/>
            </w14:solidFill>
          </w14:textFill>
        </w:rPr>
        <w:t>不定期组织各类文体活动</w:t>
      </w:r>
      <w:r>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t>（3）日常餐饮</w:t>
      </w:r>
      <w:r>
        <w:rPr>
          <w:rFonts w:hint="eastAsia" w:ascii="仿宋_GB2312" w:hAnsi="仿宋_GB2312" w:eastAsia="仿宋_GB2312" w:cs="仿宋_GB2312"/>
          <w:b w:val="0"/>
          <w:bCs/>
          <w:snapToGrid w:val="0"/>
          <w:color w:val="000000" w:themeColor="text1"/>
          <w:kern w:val="0"/>
          <w:sz w:val="32"/>
          <w:szCs w:val="32"/>
          <w:highlight w:val="none"/>
          <w:lang w:val="en-US" w:eastAsia="zh-CN" w:bidi="ar-SA"/>
          <w14:textFill>
            <w14:solidFill>
              <w14:schemeClr w14:val="tx1"/>
            </w14:solidFill>
          </w14:textFill>
        </w:rPr>
        <w:t>:工作日提</w:t>
      </w:r>
      <w:r>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t>供早、午、晚餐。</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t>（4）实物福利:过节、生日、生育等享受实物福利。</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t>（5）职业发展:公司为员工提供横向与纵向双向发展的职业通道，参与竞聘、轮岗、内部挂职交流、外部选派学习等展示舞台，</w:t>
      </w:r>
      <w:r>
        <w:rPr>
          <w:rFonts w:hint="eastAsia" w:ascii="仿宋_GB2312" w:hAnsi="仿宋_GB2312" w:eastAsia="仿宋_GB2312" w:cs="仿宋_GB2312"/>
          <w:color w:val="000000" w:themeColor="text1"/>
          <w:sz w:val="32"/>
          <w:szCs w:val="32"/>
          <w:lang w:eastAsia="zh-CN"/>
          <w14:textFill>
            <w14:solidFill>
              <w14:schemeClr w14:val="tx1"/>
            </w14:solidFill>
          </w14:textFill>
        </w:rPr>
        <w:t>提升职业技能的丰富</w:t>
      </w:r>
      <w:r>
        <w:rPr>
          <w:rFonts w:hint="eastAsia" w:ascii="仿宋_GB2312" w:hAnsi="仿宋_GB2312" w:eastAsia="仿宋_GB2312" w:cs="仿宋_GB2312"/>
          <w:color w:val="000000" w:themeColor="text1"/>
          <w:sz w:val="32"/>
          <w:szCs w:val="32"/>
          <w14:textFill>
            <w14:solidFill>
              <w14:schemeClr w14:val="tx1"/>
            </w14:solidFill>
          </w14:textFill>
        </w:rPr>
        <w:t>培训课程</w:t>
      </w:r>
      <w:r>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t>（6）节假日:双休、带薪年假、婚假、产假、陪产假等法定节假日。</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snapToGrid w:val="0"/>
          <w:color w:val="auto"/>
          <w:kern w:val="0"/>
          <w:sz w:val="32"/>
          <w:szCs w:val="32"/>
          <w:highlight w:val="none"/>
          <w:lang w:val="en-US" w:eastAsia="zh-CN" w:bidi="ar-SA"/>
        </w:rPr>
      </w:pPr>
      <w:r>
        <w:rPr>
          <w:rFonts w:hint="eastAsia" w:ascii="仿宋_GB2312" w:hAnsi="仿宋_GB2312" w:eastAsia="仿宋_GB2312" w:cs="仿宋_GB2312"/>
          <w:b w:val="0"/>
          <w:bCs/>
          <w:snapToGrid w:val="0"/>
          <w:color w:val="auto"/>
          <w:kern w:val="0"/>
          <w:sz w:val="32"/>
          <w:szCs w:val="32"/>
          <w:highlight w:val="none"/>
          <w:lang w:val="en-US" w:eastAsia="zh-CN" w:bidi="ar-SA"/>
        </w:rPr>
        <w:t>（7）健康体检:免费安排员工健康体检。</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t>（8）劳保用品:定期发放劳保用品。</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pPr>
      <w:r>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t>（9）租房补贴：外地员工按照公司相关规定享受三年租房补贴。</w:t>
      </w:r>
    </w:p>
    <w:p>
      <w:pPr>
        <w:ind w:firstLine="640" w:firstLineChars="200"/>
      </w:pPr>
      <w:r>
        <w:rPr>
          <w:rFonts w:hint="eastAsia" w:ascii="仿宋_GB2312" w:hAnsi="仿宋_GB2312" w:eastAsia="仿宋_GB2312" w:cs="仿宋_GB2312"/>
          <w:b w:val="0"/>
          <w:bCs/>
          <w:snapToGrid w:val="0"/>
          <w:color w:val="000000" w:themeColor="text1"/>
          <w:kern w:val="0"/>
          <w:sz w:val="32"/>
          <w:szCs w:val="32"/>
          <w:lang w:val="en-US" w:eastAsia="zh-CN" w:bidi="ar-SA"/>
          <w14:textFill>
            <w14:solidFill>
              <w14:schemeClr w14:val="tx1"/>
            </w14:solidFill>
          </w14:textFill>
        </w:rPr>
        <w:t>（10）其他津补贴：按岗位享受通讯补贴、高温津贴等。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A5095"/>
    <w:rsid w:val="05CF012C"/>
    <w:rsid w:val="077576C1"/>
    <w:rsid w:val="09EF53EB"/>
    <w:rsid w:val="0D1102CA"/>
    <w:rsid w:val="0E0245CE"/>
    <w:rsid w:val="0F1E0BA3"/>
    <w:rsid w:val="121C0995"/>
    <w:rsid w:val="12CB7F69"/>
    <w:rsid w:val="136F739C"/>
    <w:rsid w:val="14AD3960"/>
    <w:rsid w:val="14D55753"/>
    <w:rsid w:val="14DE7FD0"/>
    <w:rsid w:val="16E905C7"/>
    <w:rsid w:val="185A0EFF"/>
    <w:rsid w:val="185B6979"/>
    <w:rsid w:val="1B9209D0"/>
    <w:rsid w:val="1EF44213"/>
    <w:rsid w:val="1F740247"/>
    <w:rsid w:val="1FD1646E"/>
    <w:rsid w:val="215C6B2F"/>
    <w:rsid w:val="22271DA8"/>
    <w:rsid w:val="222E0524"/>
    <w:rsid w:val="22F8128A"/>
    <w:rsid w:val="25921A4E"/>
    <w:rsid w:val="2B1739C9"/>
    <w:rsid w:val="2ED2573E"/>
    <w:rsid w:val="2F041285"/>
    <w:rsid w:val="31125406"/>
    <w:rsid w:val="37EB197E"/>
    <w:rsid w:val="38BE5819"/>
    <w:rsid w:val="3AAF1923"/>
    <w:rsid w:val="3C3A45CE"/>
    <w:rsid w:val="3E5F73BC"/>
    <w:rsid w:val="3EBB593F"/>
    <w:rsid w:val="3FC65C48"/>
    <w:rsid w:val="44633B8E"/>
    <w:rsid w:val="44BB63FF"/>
    <w:rsid w:val="46542B1A"/>
    <w:rsid w:val="487A115C"/>
    <w:rsid w:val="49957DC4"/>
    <w:rsid w:val="4ACD7639"/>
    <w:rsid w:val="4B00570D"/>
    <w:rsid w:val="4B7D0C82"/>
    <w:rsid w:val="4E8C356D"/>
    <w:rsid w:val="51097C92"/>
    <w:rsid w:val="55236372"/>
    <w:rsid w:val="56567523"/>
    <w:rsid w:val="56B479A8"/>
    <w:rsid w:val="570C7183"/>
    <w:rsid w:val="57CE5503"/>
    <w:rsid w:val="58023FF0"/>
    <w:rsid w:val="594C15A6"/>
    <w:rsid w:val="59E01DC2"/>
    <w:rsid w:val="5B5F209E"/>
    <w:rsid w:val="5BF1628E"/>
    <w:rsid w:val="5DAA4848"/>
    <w:rsid w:val="5F174A75"/>
    <w:rsid w:val="60563851"/>
    <w:rsid w:val="609E7026"/>
    <w:rsid w:val="626117B8"/>
    <w:rsid w:val="626F795B"/>
    <w:rsid w:val="65237A1E"/>
    <w:rsid w:val="66131796"/>
    <w:rsid w:val="67C275FD"/>
    <w:rsid w:val="68426DC4"/>
    <w:rsid w:val="68AB52A4"/>
    <w:rsid w:val="6F303077"/>
    <w:rsid w:val="6F576269"/>
    <w:rsid w:val="71456464"/>
    <w:rsid w:val="76936B58"/>
    <w:rsid w:val="76AD5DFF"/>
    <w:rsid w:val="79960662"/>
    <w:rsid w:val="7BA1444A"/>
    <w:rsid w:val="7E24177A"/>
    <w:rsid w:val="7F4B66C3"/>
    <w:rsid w:val="7F765B61"/>
    <w:rsid w:val="7FCC03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3"/>
    <w:next w:val="3"/>
    <w:unhideWhenUsed/>
    <w:qFormat/>
    <w:uiPriority w:val="99"/>
    <w:rPr>
      <w:sz w:val="32"/>
    </w:rPr>
  </w:style>
  <w:style w:type="paragraph" w:styleId="3">
    <w:name w:val="Title"/>
    <w:basedOn w:val="1"/>
    <w:next w:val="1"/>
    <w:qFormat/>
    <w:uiPriority w:val="0"/>
    <w:pPr>
      <w:widowControl/>
      <w:spacing w:before="240" w:after="60"/>
      <w:jc w:val="center"/>
      <w:outlineLvl w:val="0"/>
    </w:pPr>
    <w:rPr>
      <w:rFonts w:ascii="Arial" w:hAnsi="Arial" w:eastAsia="华文中宋" w:cs="Arial"/>
      <w:b/>
      <w:bCs/>
      <w:color w:val="FF0000"/>
      <w:sz w:val="8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274</Words>
  <Characters>276</Characters>
  <Lines>0</Lines>
  <Paragraphs>0</Paragraphs>
  <TotalTime>10</TotalTime>
  <ScaleCrop>false</ScaleCrop>
  <LinksUpToDate>false</LinksUpToDate>
  <CharactersWithSpaces>276</CharactersWithSpaces>
  <Application>WPS Office_11.8.2.11739_F1E327BC-269C-435d-A152-05C5408002CA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2024-08-13T01:10:00Z</dcterms:created>
  <dc:creator>zhangmin</dc:creator>
  <cp:lastModifiedBy>wanghui</cp:lastModifiedBy>
  <dcterms:modified xsi:type="dcterms:W3CDTF">2025-12-22T08:30:33Z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2052-11.8.2.11739</vt:lpwstr>
  </property>
  <property fmtid="{D5CDD505-2E9C-101B-9397-08002B2CF9AE}" pid="3" name="ICV">
    <vt:lpwstr>E162FE0807E047CD97498020B3C67A7B_12</vt:lpwstr>
  </property>
  <property fmtid="{D5CDD505-2E9C-101B-9397-08002B2CF9AE}" pid="4" name="KSOTemplateDocerSaveRecord">
    <vt:lpwstr>eyJoZGlkIjoiN2NkZDczZTdmMThkYThmYWRlN2IwZWUzYmIzMWQzYzIiLCJ1c2VySWQiOiI1NjU3ODY5MzQifQ==</vt:lpwstr>
  </property>
</Properties>
</file>