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312" w:beforeLines="100"/>
        <w:jc w:val="center"/>
        <w:rPr>
          <w:rFonts w:ascii="微软雅黑" w:hAnsi="微软雅黑" w:eastAsia="微软雅黑" w:cs="PingFangSC-Medium"/>
          <w:b/>
          <w:color w:val="213543"/>
          <w:kern w:val="0"/>
          <w:sz w:val="32"/>
          <w:szCs w:val="32"/>
          <w:lang w:bidi="ar"/>
        </w:rPr>
      </w:pPr>
      <w:r>
        <w:rPr>
          <w:rFonts w:hint="eastAsia" w:ascii="微软雅黑" w:hAnsi="微软雅黑" w:eastAsia="微软雅黑" w:cs="PingFangSC-Medium"/>
          <w:b/>
          <w:color w:val="213543"/>
          <w:kern w:val="0"/>
          <w:sz w:val="32"/>
          <w:szCs w:val="32"/>
          <w:lang w:bidi="ar"/>
        </w:rPr>
        <w:t>浙江零跑科技股份有限公司</w:t>
      </w:r>
    </w:p>
    <w:p>
      <w:pPr>
        <w:widowControl/>
        <w:jc w:val="center"/>
        <w:rPr>
          <w:rFonts w:ascii="微软雅黑" w:hAnsi="微软雅黑" w:eastAsia="微软雅黑" w:cs="PingFangSC-Medium"/>
          <w:b/>
          <w:kern w:val="0"/>
          <w:sz w:val="32"/>
          <w:szCs w:val="32"/>
          <w:lang w:bidi="ar"/>
        </w:rPr>
      </w:pPr>
      <w:r>
        <w:rPr>
          <w:rFonts w:hint="eastAsia" w:ascii="微软雅黑" w:hAnsi="微软雅黑" w:eastAsia="微软雅黑" w:cs="PingFangSC-Medium"/>
          <w:b/>
          <w:color w:val="213543"/>
          <w:kern w:val="0"/>
          <w:sz w:val="32"/>
          <w:szCs w:val="32"/>
          <w:lang w:bidi="ar"/>
        </w:rPr>
        <w:t>零跑汽车校招-招聘简章</w:t>
      </w:r>
    </w:p>
    <w:p>
      <w:pPr>
        <w:widowControl/>
        <w:jc w:val="left"/>
        <w:rPr>
          <w:rFonts w:ascii="PingFangSC-Medium" w:hAnsi="PingFangSC-Medium" w:eastAsia="PingFangSC-Medium" w:cs="PingFangSC-Medium"/>
          <w:b/>
          <w:color w:val="213543"/>
          <w:kern w:val="0"/>
          <w:sz w:val="22"/>
          <w:szCs w:val="24"/>
          <w:lang w:bidi="ar"/>
        </w:rPr>
      </w:pPr>
      <w:r>
        <w:rPr>
          <w:rFonts w:hint="eastAsia" w:ascii="PingFangSC-Medium" w:hAnsi="PingFangSC-Medium" w:eastAsia="PingFangSC-Medium" w:cs="PingFangSC-Medium"/>
          <w:b/>
          <w:color w:val="213543"/>
          <w:kern w:val="0"/>
          <w:sz w:val="22"/>
          <w:szCs w:val="24"/>
          <w:lang w:bidi="ar"/>
        </w:rPr>
        <w:t>一、【公司简介】</w:t>
      </w:r>
    </w:p>
    <w:p>
      <w:pPr>
        <w:widowControl/>
        <w:jc w:val="left"/>
        <w:rPr>
          <w:rFonts w:ascii="宋体" w:hAnsi="宋体" w:cs="PingFangSC-Medium"/>
          <w:color w:val="213543"/>
          <w:kern w:val="0"/>
          <w:sz w:val="20"/>
          <w:lang w:bidi="ar"/>
        </w:rPr>
      </w:pPr>
      <w:r>
        <w:rPr>
          <w:rFonts w:hint="eastAsia" w:ascii="PingFangSC-Medium" w:hAnsi="PingFangSC-Medium" w:eastAsia="PingFangSC-Medium" w:cs="PingFangSC-Medium"/>
          <w:color w:val="213543"/>
          <w:kern w:val="0"/>
          <w:sz w:val="24"/>
          <w:szCs w:val="24"/>
          <w:lang w:bidi="ar"/>
        </w:rPr>
        <w:t>一家拥有IT基因，属于“IT人造车”的汽车公司</w:t>
      </w:r>
    </w:p>
    <w:p>
      <w:pPr>
        <w:widowControl/>
        <w:spacing w:line="400" w:lineRule="exact"/>
        <w:ind w:firstLine="600" w:firstLineChars="300"/>
        <w:jc w:val="left"/>
        <w:rPr>
          <w:rFonts w:ascii="宋体" w:hAnsi="宋体"/>
          <w:sz w:val="20"/>
        </w:rPr>
      </w:pPr>
      <w:r>
        <w:rPr>
          <w:rFonts w:ascii="宋体" w:hAnsi="宋体"/>
          <w:sz w:val="20"/>
        </w:rPr>
        <w:t>零跑汽车是一家创新型的智能电动汽车企业，拥有智能电动车完整自主研发能力的整车厂家由浙江大华技术股份有限公司及其主要创始人共同投资成立</w:t>
      </w:r>
      <w:r>
        <w:rPr>
          <w:rFonts w:hint="eastAsia" w:ascii="宋体" w:hAnsi="宋体"/>
          <w:sz w:val="20"/>
          <w:lang w:val="en-US" w:eastAsia="zh-CN"/>
        </w:rPr>
        <w:t>.</w:t>
      </w:r>
      <w:r>
        <w:rPr>
          <w:rFonts w:ascii="宋体" w:hAnsi="宋体" w:cs="PingFangSC-Medium"/>
          <w:color w:val="213543"/>
          <w:kern w:val="0"/>
          <w:sz w:val="20"/>
          <w:lang w:bidi="ar"/>
        </w:rPr>
        <w:t>2022</w:t>
      </w:r>
      <w:r>
        <w:rPr>
          <w:rFonts w:hint="eastAsia" w:ascii="宋体" w:hAnsi="宋体" w:cs="PingFangSC-Medium"/>
          <w:color w:val="213543"/>
          <w:kern w:val="0"/>
          <w:sz w:val="20"/>
          <w:lang w:bidi="ar"/>
        </w:rPr>
        <w:t>年</w:t>
      </w:r>
      <w:r>
        <w:rPr>
          <w:rFonts w:ascii="宋体" w:hAnsi="宋体" w:cs="Arial"/>
          <w:color w:val="222222"/>
          <w:sz w:val="20"/>
          <w:shd w:val="clear" w:color="auto" w:fill="FFFFFF"/>
        </w:rPr>
        <w:t>9月29日，浙江零跑正式以“9863.HK”为股票代码在港交所主板挂牌上市，成为继“蔚小理”之后，第四家成功上市的造车新势力。</w:t>
      </w:r>
    </w:p>
    <w:p>
      <w:pPr>
        <w:widowControl/>
        <w:spacing w:line="360" w:lineRule="auto"/>
        <w:ind w:firstLine="400" w:firstLineChars="200"/>
        <w:jc w:val="left"/>
        <w:rPr>
          <w:rFonts w:ascii="宋体" w:hAnsi="宋体"/>
          <w:sz w:val="20"/>
        </w:rPr>
      </w:pPr>
      <w:r>
        <w:rPr>
          <w:rFonts w:hint="eastAsia" w:ascii="宋体" w:hAnsi="宋体"/>
          <w:sz w:val="20"/>
        </w:rPr>
        <w:t>公司总部位于浙江杭州滨江高新开发区，公司业务范围涵盖智能电动汽车整车设计、研发制造、智能驾驶、电机电控、电池系统开发，以及基于云计算的车联网解决方案。一期投资26亿元年产10万辆的整车制造基地坐落在美丽的金华市新能源小镇，工厂占地551亩，厂房面积23余万平方米，包含冲压、焊装、涂装、总装四大工艺产线及三电（电驱、电池、电子）生产车间。目前公司已有S01\T03\C11\C01四款车型销售，整体发展势头处于新造车势力前列。</w:t>
      </w:r>
    </w:p>
    <w:p>
      <w:pPr>
        <w:widowControl/>
        <w:jc w:val="left"/>
        <w:rPr>
          <w:rFonts w:ascii="PingFangSC-Medium" w:hAnsi="PingFangSC-Medium" w:eastAsia="PingFangSC-Medium" w:cs="PingFangSC-Medium"/>
          <w:b/>
          <w:color w:val="213543"/>
          <w:kern w:val="0"/>
          <w:sz w:val="22"/>
          <w:szCs w:val="24"/>
          <w:lang w:bidi="ar"/>
        </w:rPr>
      </w:pPr>
      <w:r>
        <w:rPr>
          <w:rFonts w:hint="eastAsia" w:ascii="PingFangSC-Medium" w:hAnsi="PingFangSC-Medium" w:eastAsia="PingFangSC-Medium" w:cs="PingFangSC-Medium"/>
          <w:b/>
          <w:color w:val="213543"/>
          <w:kern w:val="0"/>
          <w:sz w:val="22"/>
          <w:szCs w:val="24"/>
          <w:lang w:bidi="ar"/>
        </w:rPr>
        <w:t>二、【招聘岗位及面试流程】</w:t>
      </w:r>
    </w:p>
    <w:p>
      <w:pPr>
        <w:widowControl/>
        <w:jc w:val="left"/>
        <w:rPr>
          <w:rFonts w:ascii="宋体" w:hAnsi="宋体"/>
          <w:b/>
        </w:rPr>
      </w:pPr>
      <w:r>
        <w:rPr>
          <w:rFonts w:ascii="宋体" w:hAnsi="宋体"/>
          <w:b/>
        </w:rPr>
        <w:t>1</w:t>
      </w:r>
      <w:r>
        <w:rPr>
          <w:rFonts w:hint="eastAsia" w:ascii="宋体" w:hAnsi="宋体"/>
          <w:b/>
        </w:rPr>
        <w:t>、招聘岗位</w:t>
      </w:r>
    </w:p>
    <w:tbl>
      <w:tblPr>
        <w:tblStyle w:val="6"/>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0"/>
        <w:gridCol w:w="1178"/>
        <w:gridCol w:w="868"/>
        <w:gridCol w:w="50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410" w:type="dxa"/>
            <w:shd w:val="clear" w:color="auto" w:fill="D7D7D7" w:themeFill="background1" w:themeFillShade="D8"/>
            <w:vAlign w:val="center"/>
          </w:tcPr>
          <w:p>
            <w:pPr>
              <w:spacing w:line="320" w:lineRule="exact"/>
              <w:jc w:val="center"/>
              <w:rPr>
                <w:rFonts w:ascii="宋体" w:hAnsi="宋体" w:cs="微软雅黑"/>
                <w:b/>
                <w:sz w:val="20"/>
              </w:rPr>
            </w:pPr>
            <w:r>
              <w:rPr>
                <w:rFonts w:hint="eastAsia" w:ascii="宋体" w:hAnsi="宋体" w:cs="微软雅黑"/>
                <w:b/>
                <w:sz w:val="20"/>
              </w:rPr>
              <w:t>需求部门</w:t>
            </w:r>
          </w:p>
        </w:tc>
        <w:tc>
          <w:tcPr>
            <w:tcW w:w="1178" w:type="dxa"/>
            <w:shd w:val="clear" w:color="auto" w:fill="D7D7D7" w:themeFill="background1" w:themeFillShade="D8"/>
            <w:vAlign w:val="center"/>
          </w:tcPr>
          <w:p>
            <w:pPr>
              <w:spacing w:line="320" w:lineRule="exact"/>
              <w:jc w:val="center"/>
              <w:rPr>
                <w:rFonts w:ascii="宋体" w:hAnsi="宋体" w:cs="微软雅黑"/>
                <w:b/>
                <w:sz w:val="20"/>
              </w:rPr>
            </w:pPr>
            <w:r>
              <w:rPr>
                <w:rFonts w:hint="eastAsia" w:ascii="宋体" w:hAnsi="宋体" w:cs="微软雅黑"/>
                <w:b/>
                <w:sz w:val="20"/>
              </w:rPr>
              <w:t>需求岗位</w:t>
            </w:r>
          </w:p>
        </w:tc>
        <w:tc>
          <w:tcPr>
            <w:tcW w:w="868" w:type="dxa"/>
            <w:shd w:val="clear" w:color="auto" w:fill="D7D7D7" w:themeFill="background1" w:themeFillShade="D8"/>
            <w:vAlign w:val="center"/>
          </w:tcPr>
          <w:p>
            <w:pPr>
              <w:spacing w:line="320" w:lineRule="exact"/>
              <w:jc w:val="center"/>
              <w:rPr>
                <w:rFonts w:ascii="宋体" w:hAnsi="宋体" w:cs="微软雅黑"/>
                <w:b/>
                <w:sz w:val="20"/>
              </w:rPr>
            </w:pPr>
            <w:r>
              <w:rPr>
                <w:rFonts w:hint="eastAsia" w:ascii="宋体" w:hAnsi="宋体" w:cs="微软雅黑"/>
                <w:b/>
                <w:sz w:val="20"/>
              </w:rPr>
              <w:t>需求人数</w:t>
            </w:r>
          </w:p>
        </w:tc>
        <w:tc>
          <w:tcPr>
            <w:tcW w:w="5064" w:type="dxa"/>
            <w:shd w:val="clear" w:color="auto" w:fill="D7D7D7" w:themeFill="background1" w:themeFillShade="D8"/>
            <w:vAlign w:val="center"/>
          </w:tcPr>
          <w:p>
            <w:pPr>
              <w:spacing w:line="320" w:lineRule="exact"/>
              <w:jc w:val="center"/>
              <w:rPr>
                <w:rFonts w:ascii="宋体" w:hAnsi="宋体" w:cs="微软雅黑"/>
                <w:b/>
                <w:sz w:val="20"/>
              </w:rPr>
            </w:pPr>
            <w:r>
              <w:rPr>
                <w:rFonts w:hint="eastAsia" w:ascii="宋体" w:hAnsi="宋体" w:cs="微软雅黑"/>
                <w:b/>
                <w:sz w:val="20"/>
              </w:rPr>
              <w:t>基础要求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jc w:val="center"/>
        </w:trPr>
        <w:tc>
          <w:tcPr>
            <w:tcW w:w="1410" w:type="dxa"/>
            <w:vAlign w:val="center"/>
          </w:tcPr>
          <w:p>
            <w:pPr>
              <w:widowControl/>
              <w:spacing w:line="360" w:lineRule="auto"/>
              <w:jc w:val="center"/>
              <w:rPr>
                <w:rFonts w:ascii="宋体" w:hAnsi="宋体" w:cs="宋体"/>
                <w:kern w:val="0"/>
                <w:sz w:val="18"/>
                <w:szCs w:val="18"/>
                <w:lang w:bidi="ar"/>
              </w:rPr>
            </w:pPr>
            <w:r>
              <w:rPr>
                <w:rFonts w:hint="eastAsia" w:ascii="宋体" w:hAnsi="宋体" w:cs="SourceHanSansCN-Light"/>
                <w:kern w:val="0"/>
                <w:sz w:val="18"/>
                <w:szCs w:val="16"/>
                <w:lang w:bidi="ar"/>
              </w:rPr>
              <w:t>制造技术部</w:t>
            </w:r>
          </w:p>
        </w:tc>
        <w:tc>
          <w:tcPr>
            <w:tcW w:w="1178" w:type="dxa"/>
            <w:vAlign w:val="center"/>
          </w:tcPr>
          <w:p>
            <w:pPr>
              <w:widowControl/>
              <w:spacing w:line="360" w:lineRule="auto"/>
              <w:jc w:val="center"/>
              <w:rPr>
                <w:rFonts w:ascii="宋体" w:hAnsi="宋体" w:cs="宋体"/>
                <w:kern w:val="0"/>
                <w:sz w:val="18"/>
                <w:szCs w:val="18"/>
                <w:lang w:bidi="ar"/>
              </w:rPr>
            </w:pPr>
            <w:r>
              <w:rPr>
                <w:rFonts w:hint="eastAsia" w:ascii="宋体" w:hAnsi="宋体" w:cs="SourceHanSansCN-Light"/>
                <w:kern w:val="0"/>
                <w:sz w:val="18"/>
                <w:szCs w:val="16"/>
                <w:lang w:bidi="ar"/>
              </w:rPr>
              <w:t>工艺技术岗</w:t>
            </w:r>
          </w:p>
        </w:tc>
        <w:tc>
          <w:tcPr>
            <w:tcW w:w="868" w:type="dxa"/>
            <w:vAlign w:val="center"/>
          </w:tcPr>
          <w:p>
            <w:pPr>
              <w:widowControl/>
              <w:spacing w:line="360" w:lineRule="auto"/>
              <w:jc w:val="center"/>
              <w:rPr>
                <w:rFonts w:ascii="宋体" w:hAnsi="宋体" w:cs="SourceHanSansCN-Light"/>
                <w:kern w:val="0"/>
                <w:sz w:val="18"/>
                <w:szCs w:val="16"/>
                <w:lang w:bidi="ar"/>
              </w:rPr>
            </w:pPr>
            <w:r>
              <w:rPr>
                <w:rFonts w:ascii="宋体" w:hAnsi="宋体" w:cs="SourceHanSansCN-Light"/>
                <w:kern w:val="0"/>
                <w:sz w:val="18"/>
                <w:szCs w:val="16"/>
                <w:lang w:bidi="ar"/>
              </w:rPr>
              <w:t>5</w:t>
            </w:r>
          </w:p>
        </w:tc>
        <w:tc>
          <w:tcPr>
            <w:tcW w:w="5064" w:type="dxa"/>
            <w:vMerge w:val="restart"/>
            <w:vAlign w:val="center"/>
          </w:tcPr>
          <w:p>
            <w:pPr>
              <w:pStyle w:val="13"/>
              <w:widowControl/>
              <w:spacing w:line="360" w:lineRule="auto"/>
              <w:ind w:left="360" w:hanging="360" w:hangingChars="200"/>
              <w:jc w:val="left"/>
              <w:rPr>
                <w:rFonts w:ascii="宋体" w:hAnsi="宋体" w:cs="SourceHanSansCN-Light"/>
                <w:kern w:val="0"/>
                <w:sz w:val="18"/>
                <w:szCs w:val="16"/>
                <w:lang w:bidi="ar"/>
              </w:rPr>
            </w:pPr>
            <w:r>
              <w:rPr>
                <w:rFonts w:hint="eastAsia" w:ascii="宋体" w:hAnsi="宋体" w:cs="SourceHanSansCN-Light"/>
                <w:kern w:val="0"/>
                <w:sz w:val="18"/>
                <w:szCs w:val="16"/>
                <w:lang w:bidi="ar"/>
              </w:rPr>
              <w:t>1、新能源汽车技术、机电一体化、电气自动化、汽车运用与维修、</w:t>
            </w:r>
            <w:r>
              <w:rPr>
                <w:rFonts w:ascii="宋体" w:hAnsi="宋体" w:cs="SourceHanSansCN-Light"/>
                <w:kern w:val="0"/>
                <w:sz w:val="18"/>
                <w:szCs w:val="16"/>
                <w:lang w:bidi="ar"/>
              </w:rPr>
              <w:t>机械制造与自动化数控技术</w:t>
            </w:r>
            <w:r>
              <w:rPr>
                <w:rFonts w:hint="eastAsia" w:ascii="宋体" w:hAnsi="宋体" w:cs="SourceHanSansCN-Light"/>
                <w:kern w:val="0"/>
                <w:sz w:val="18"/>
                <w:szCs w:val="16"/>
                <w:lang w:bidi="ar"/>
              </w:rPr>
              <w:t>、工业工程、等相关理工科专业；</w:t>
            </w:r>
          </w:p>
          <w:p>
            <w:pPr>
              <w:pStyle w:val="13"/>
              <w:widowControl/>
              <w:spacing w:line="360" w:lineRule="auto"/>
              <w:ind w:firstLine="0" w:firstLineChars="0"/>
              <w:jc w:val="left"/>
              <w:rPr>
                <w:rFonts w:ascii="宋体" w:hAnsi="宋体" w:cs="SourceHanSansCN-Light"/>
                <w:kern w:val="0"/>
                <w:sz w:val="18"/>
                <w:szCs w:val="16"/>
                <w:lang w:bidi="ar"/>
              </w:rPr>
            </w:pPr>
            <w:r>
              <w:rPr>
                <w:rFonts w:hint="eastAsia" w:ascii="宋体" w:hAnsi="宋体" w:cs="SourceHanSansCN-Light"/>
                <w:kern w:val="0"/>
                <w:sz w:val="18"/>
                <w:szCs w:val="16"/>
                <w:lang w:bidi="ar"/>
              </w:rPr>
              <w:t>2、仓物流类专业可优先选择投递【仓储物流部】</w:t>
            </w:r>
          </w:p>
          <w:p>
            <w:pPr>
              <w:pStyle w:val="13"/>
              <w:widowControl/>
              <w:spacing w:line="360" w:lineRule="auto"/>
              <w:ind w:firstLine="0" w:firstLineChars="0"/>
              <w:jc w:val="left"/>
              <w:rPr>
                <w:rFonts w:ascii="宋体" w:hAnsi="宋体" w:cs="SourceHanSansCN-Light"/>
                <w:kern w:val="0"/>
                <w:sz w:val="18"/>
                <w:szCs w:val="16"/>
                <w:lang w:bidi="ar"/>
              </w:rPr>
            </w:pPr>
            <w:r>
              <w:rPr>
                <w:rFonts w:hint="eastAsia" w:ascii="宋体" w:hAnsi="宋体" w:cs="SourceHanSansCN-Light"/>
                <w:kern w:val="0"/>
                <w:sz w:val="18"/>
                <w:szCs w:val="16"/>
                <w:lang w:bidi="ar"/>
              </w:rPr>
              <w:t>3、化工、材料类等小专业可优先选择投递【涂装部】；</w:t>
            </w:r>
          </w:p>
          <w:p>
            <w:pPr>
              <w:widowControl/>
              <w:spacing w:line="360" w:lineRule="auto"/>
              <w:jc w:val="left"/>
              <w:rPr>
                <w:rFonts w:ascii="宋体" w:hAnsi="宋体" w:cs="SourceHanSansCN-Light"/>
                <w:kern w:val="0"/>
                <w:sz w:val="18"/>
                <w:szCs w:val="16"/>
                <w:lang w:bidi="ar"/>
              </w:rPr>
            </w:pPr>
            <w:r>
              <w:rPr>
                <w:rFonts w:hint="eastAsia" w:ascii="宋体" w:hAnsi="宋体" w:cs="SourceHanSansCN-Light"/>
                <w:kern w:val="0"/>
                <w:sz w:val="18"/>
                <w:szCs w:val="16"/>
                <w:lang w:bidi="ar"/>
              </w:rPr>
              <w:t>4、1</w:t>
            </w:r>
            <w:r>
              <w:rPr>
                <w:rFonts w:ascii="宋体" w:hAnsi="宋体" w:cs="SourceHanSansCN-Light"/>
                <w:kern w:val="0"/>
                <w:sz w:val="18"/>
                <w:szCs w:val="16"/>
                <w:lang w:bidi="ar"/>
              </w:rPr>
              <w:t>7</w:t>
            </w:r>
            <w:r>
              <w:rPr>
                <w:rFonts w:hint="eastAsia" w:ascii="宋体" w:hAnsi="宋体" w:cs="SourceHanSansCN-Light"/>
                <w:kern w:val="0"/>
                <w:sz w:val="18"/>
                <w:szCs w:val="16"/>
                <w:lang w:bidi="ar"/>
              </w:rPr>
              <w:t>周岁及以上，热爱从事新能源汽车行业；</w:t>
            </w:r>
          </w:p>
          <w:p>
            <w:pPr>
              <w:widowControl/>
              <w:spacing w:line="360" w:lineRule="auto"/>
              <w:jc w:val="left"/>
              <w:rPr>
                <w:rFonts w:ascii="宋体" w:hAnsi="宋体" w:cs="SourceHanSansCN-Light"/>
                <w:kern w:val="0"/>
                <w:sz w:val="18"/>
                <w:szCs w:val="16"/>
                <w:lang w:bidi="ar"/>
              </w:rPr>
            </w:pPr>
            <w:r>
              <w:rPr>
                <w:rFonts w:hint="eastAsia" w:ascii="宋体" w:hAnsi="宋体" w:cs="SourceHanSansCN-Light"/>
                <w:kern w:val="0"/>
                <w:sz w:val="18"/>
                <w:szCs w:val="16"/>
                <w:lang w:bidi="ar"/>
              </w:rPr>
              <w:t>5、良好的团队精神和学习能力。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410"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质量部</w:t>
            </w:r>
          </w:p>
        </w:tc>
        <w:tc>
          <w:tcPr>
            <w:tcW w:w="1178"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质量检验岗</w:t>
            </w:r>
          </w:p>
        </w:tc>
        <w:tc>
          <w:tcPr>
            <w:tcW w:w="868" w:type="dxa"/>
            <w:vAlign w:val="center"/>
          </w:tcPr>
          <w:p>
            <w:pPr>
              <w:widowControl/>
              <w:spacing w:line="360" w:lineRule="auto"/>
              <w:jc w:val="center"/>
              <w:rPr>
                <w:rFonts w:hint="default" w:ascii="宋体" w:hAnsi="宋体" w:eastAsia="宋体" w:cs="SourceHanSansCN-Light"/>
                <w:kern w:val="0"/>
                <w:sz w:val="18"/>
                <w:szCs w:val="16"/>
                <w:lang w:val="en-US" w:eastAsia="zh-CN" w:bidi="ar"/>
              </w:rPr>
            </w:pPr>
            <w:r>
              <w:rPr>
                <w:rFonts w:hint="eastAsia" w:ascii="宋体" w:hAnsi="宋体" w:cs="SourceHanSansCN-Light"/>
                <w:kern w:val="0"/>
                <w:sz w:val="18"/>
                <w:szCs w:val="16"/>
                <w:lang w:val="en-US" w:eastAsia="zh-CN" w:bidi="ar"/>
              </w:rPr>
              <w:t>2</w:t>
            </w:r>
          </w:p>
        </w:tc>
        <w:tc>
          <w:tcPr>
            <w:tcW w:w="5064" w:type="dxa"/>
            <w:vMerge w:val="continue"/>
            <w:vAlign w:val="center"/>
          </w:tcPr>
          <w:p>
            <w:pPr>
              <w:widowControl/>
              <w:spacing w:line="360" w:lineRule="auto"/>
              <w:jc w:val="left"/>
              <w:rPr>
                <w:rFonts w:ascii="宋体" w:hAnsi="宋体" w:cs="SourceHanSansCN-Light"/>
                <w:kern w:val="0"/>
                <w:sz w:val="18"/>
                <w:szCs w:val="16"/>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410"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设备部</w:t>
            </w:r>
          </w:p>
        </w:tc>
        <w:tc>
          <w:tcPr>
            <w:tcW w:w="1178" w:type="dxa"/>
            <w:vAlign w:val="center"/>
          </w:tcPr>
          <w:p>
            <w:pPr>
              <w:widowControl/>
              <w:spacing w:line="360" w:lineRule="auto"/>
              <w:jc w:val="center"/>
              <w:rPr>
                <w:rFonts w:ascii="宋体" w:hAnsi="宋体" w:cs="SourceHanSansCN-Light"/>
                <w:kern w:val="0"/>
                <w:sz w:val="18"/>
                <w:szCs w:val="16"/>
                <w:lang w:bidi="ar"/>
              </w:rPr>
            </w:pPr>
            <w:r>
              <w:rPr>
                <w:rFonts w:hint="eastAsia" w:ascii="宋体" w:hAnsi="宋体" w:cs="SourceHanSansCN-Light"/>
                <w:kern w:val="0"/>
                <w:sz w:val="18"/>
                <w:szCs w:val="16"/>
                <w:lang w:bidi="ar"/>
              </w:rPr>
              <w:t>设备维护岗</w:t>
            </w:r>
          </w:p>
        </w:tc>
        <w:tc>
          <w:tcPr>
            <w:tcW w:w="868" w:type="dxa"/>
            <w:vAlign w:val="center"/>
          </w:tcPr>
          <w:p>
            <w:pPr>
              <w:widowControl/>
              <w:spacing w:line="360" w:lineRule="auto"/>
              <w:jc w:val="center"/>
              <w:rPr>
                <w:rFonts w:hint="default" w:ascii="宋体" w:hAnsi="宋体" w:eastAsia="宋体" w:cs="SourceHanSansCN-Light"/>
                <w:kern w:val="0"/>
                <w:sz w:val="18"/>
                <w:szCs w:val="16"/>
                <w:lang w:val="en-US" w:eastAsia="zh-CN" w:bidi="ar"/>
              </w:rPr>
            </w:pPr>
            <w:r>
              <w:rPr>
                <w:rFonts w:hint="eastAsia" w:ascii="宋体" w:hAnsi="宋体" w:cs="SourceHanSansCN-Light"/>
                <w:kern w:val="0"/>
                <w:sz w:val="18"/>
                <w:szCs w:val="16"/>
                <w:lang w:val="en-US" w:eastAsia="zh-CN" w:bidi="ar"/>
              </w:rPr>
              <w:t>3</w:t>
            </w:r>
          </w:p>
        </w:tc>
        <w:tc>
          <w:tcPr>
            <w:tcW w:w="5064" w:type="dxa"/>
            <w:vMerge w:val="continue"/>
            <w:vAlign w:val="center"/>
          </w:tcPr>
          <w:p>
            <w:pPr>
              <w:widowControl/>
              <w:spacing w:line="360" w:lineRule="auto"/>
              <w:jc w:val="left"/>
              <w:rPr>
                <w:rFonts w:ascii="宋体" w:hAnsi="宋体" w:cs="SourceHanSansCN-Light"/>
                <w:kern w:val="0"/>
                <w:sz w:val="18"/>
                <w:szCs w:val="16"/>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410" w:type="dxa"/>
            <w:vAlign w:val="center"/>
          </w:tcPr>
          <w:p>
            <w:pPr>
              <w:widowControl/>
              <w:spacing w:line="360" w:lineRule="auto"/>
              <w:jc w:val="center"/>
              <w:rPr>
                <w:rFonts w:ascii="宋体" w:hAnsi="宋体" w:eastAsia="宋体" w:cs="SourceHanSansCN-Light"/>
                <w:kern w:val="0"/>
                <w:sz w:val="18"/>
                <w:szCs w:val="16"/>
                <w:lang w:val="en-US" w:eastAsia="zh-CN" w:bidi="ar"/>
              </w:rPr>
            </w:pPr>
            <w:r>
              <w:rPr>
                <w:rFonts w:hint="eastAsia" w:ascii="宋体" w:hAnsi="宋体" w:cs="SourceHanSansCN-Light"/>
                <w:kern w:val="0"/>
                <w:sz w:val="18"/>
                <w:szCs w:val="16"/>
                <w:lang w:bidi="ar"/>
              </w:rPr>
              <w:t>管理储备干部</w:t>
            </w:r>
          </w:p>
        </w:tc>
        <w:tc>
          <w:tcPr>
            <w:tcW w:w="1178" w:type="dxa"/>
            <w:vAlign w:val="center"/>
          </w:tcPr>
          <w:p>
            <w:pPr>
              <w:widowControl/>
              <w:spacing w:line="360" w:lineRule="auto"/>
              <w:jc w:val="center"/>
              <w:rPr>
                <w:rFonts w:ascii="宋体" w:hAnsi="宋体" w:eastAsia="宋体" w:cs="SourceHanSansCN-Light"/>
                <w:kern w:val="0"/>
                <w:sz w:val="18"/>
                <w:szCs w:val="16"/>
                <w:lang w:val="en-US" w:eastAsia="zh-CN" w:bidi="ar"/>
              </w:rPr>
            </w:pPr>
            <w:r>
              <w:rPr>
                <w:rFonts w:hint="eastAsia" w:ascii="宋体" w:hAnsi="宋体" w:cs="SourceHanSansCN-Light"/>
                <w:kern w:val="0"/>
                <w:sz w:val="18"/>
                <w:szCs w:val="16"/>
                <w:lang w:bidi="ar"/>
              </w:rPr>
              <w:t>储备干部岗</w:t>
            </w:r>
          </w:p>
        </w:tc>
        <w:tc>
          <w:tcPr>
            <w:tcW w:w="868" w:type="dxa"/>
            <w:vAlign w:val="center"/>
          </w:tcPr>
          <w:p>
            <w:pPr>
              <w:widowControl/>
              <w:spacing w:line="360" w:lineRule="auto"/>
              <w:jc w:val="center"/>
              <w:rPr>
                <w:rFonts w:hint="default" w:ascii="宋体" w:hAnsi="宋体" w:eastAsia="宋体" w:cs="SourceHanSansCN-Light"/>
                <w:kern w:val="0"/>
                <w:sz w:val="18"/>
                <w:szCs w:val="16"/>
                <w:lang w:val="en-US" w:eastAsia="zh-CN" w:bidi="ar"/>
              </w:rPr>
            </w:pPr>
            <w:r>
              <w:rPr>
                <w:rFonts w:hint="eastAsia" w:ascii="宋体" w:hAnsi="宋体" w:cs="SourceHanSansCN-Light"/>
                <w:kern w:val="0"/>
                <w:sz w:val="18"/>
                <w:szCs w:val="16"/>
                <w:lang w:val="en-US" w:eastAsia="zh-CN" w:bidi="ar"/>
              </w:rPr>
              <w:t>10</w:t>
            </w:r>
          </w:p>
        </w:tc>
        <w:tc>
          <w:tcPr>
            <w:tcW w:w="5064" w:type="dxa"/>
            <w:vMerge w:val="continue"/>
            <w:vAlign w:val="center"/>
          </w:tcPr>
          <w:p>
            <w:pPr>
              <w:widowControl/>
              <w:spacing w:line="360" w:lineRule="auto"/>
              <w:jc w:val="left"/>
              <w:rPr>
                <w:rFonts w:ascii="宋体" w:hAnsi="宋体" w:cs="SourceHanSansCN-Light"/>
                <w:kern w:val="0"/>
                <w:sz w:val="18"/>
                <w:szCs w:val="16"/>
                <w:lang w:bidi="ar"/>
              </w:rPr>
            </w:pPr>
          </w:p>
        </w:tc>
      </w:tr>
    </w:tbl>
    <w:p>
      <w:pPr>
        <w:widowControl/>
        <w:jc w:val="left"/>
        <w:rPr>
          <w:rFonts w:ascii="PingFangSC-Medium" w:hAnsi="PingFangSC-Medium" w:eastAsia="PingFangSC-Medium" w:cs="PingFangSC-Medium"/>
          <w:b/>
          <w:color w:val="213543"/>
          <w:kern w:val="0"/>
          <w:sz w:val="22"/>
          <w:szCs w:val="24"/>
          <w:lang w:bidi="ar"/>
        </w:rPr>
      </w:pPr>
      <w:bookmarkStart w:id="0" w:name="_GoBack"/>
      <w:bookmarkEnd w:id="0"/>
      <w:r>
        <w:rPr>
          <w:rFonts w:hint="eastAsia" w:ascii="PingFangSC-Medium" w:hAnsi="PingFangSC-Medium" w:eastAsia="PingFangSC-Medium" w:cs="PingFangSC-Medium"/>
          <w:b/>
          <w:color w:val="213543"/>
          <w:kern w:val="0"/>
          <w:sz w:val="22"/>
          <w:szCs w:val="24"/>
          <w:lang w:bidi="ar"/>
        </w:rPr>
        <w:t>三、【培养方式及职业发展】</w:t>
      </w:r>
    </w:p>
    <w:p>
      <w:pPr>
        <w:spacing w:line="360" w:lineRule="auto"/>
        <w:rPr>
          <w:rFonts w:ascii="PingFangSC-Medium" w:hAnsi="PingFangSC-Medium" w:eastAsia="PingFangSC-Medium" w:cs="PingFangSC-Medium"/>
          <w:color w:val="213543"/>
          <w:kern w:val="0"/>
          <w:sz w:val="24"/>
          <w:szCs w:val="24"/>
          <w:lang w:bidi="ar"/>
        </w:rPr>
      </w:pPr>
      <w:r>
        <w:rPr>
          <w:rFonts w:hint="eastAsia" w:ascii="PingFangSC-Medium" w:hAnsi="PingFangSC-Medium" w:eastAsia="PingFangSC-Medium" w:cs="PingFangSC-Medium"/>
          <w:color w:val="213543"/>
          <w:kern w:val="0"/>
          <w:sz w:val="24"/>
          <w:szCs w:val="24"/>
          <w:lang w:bidi="ar"/>
        </w:rPr>
        <w:t>培养方式：</w:t>
      </w:r>
    </w:p>
    <w:p>
      <w:pPr>
        <w:spacing w:line="360" w:lineRule="auto"/>
        <w:rPr>
          <w:rFonts w:ascii="宋体" w:hAnsi="宋体"/>
          <w:sz w:val="20"/>
          <w:szCs w:val="22"/>
        </w:rPr>
      </w:pPr>
      <w:r>
        <w:rPr>
          <w:rFonts w:hint="eastAsia" w:ascii="宋体" w:hAnsi="宋体"/>
          <w:sz w:val="20"/>
          <w:szCs w:val="22"/>
        </w:rPr>
        <w:t>第一阶段：军事化职业体能素质训练，让您具备进入职场所需的健康体魄</w:t>
      </w:r>
    </w:p>
    <w:p>
      <w:pPr>
        <w:spacing w:line="360" w:lineRule="auto"/>
        <w:rPr>
          <w:rFonts w:ascii="宋体" w:hAnsi="宋体"/>
          <w:sz w:val="20"/>
          <w:szCs w:val="22"/>
        </w:rPr>
      </w:pPr>
      <w:r>
        <w:rPr>
          <w:rFonts w:hint="eastAsia" w:ascii="宋体" w:hAnsi="宋体"/>
          <w:sz w:val="20"/>
          <w:szCs w:val="22"/>
        </w:rPr>
        <w:t>第二阶段：新人训练营导入培训，了解企业的发展历程及公司制度规定</w:t>
      </w:r>
    </w:p>
    <w:p>
      <w:pPr>
        <w:spacing w:line="360" w:lineRule="auto"/>
        <w:rPr>
          <w:rFonts w:ascii="宋体" w:hAnsi="宋体"/>
          <w:sz w:val="20"/>
          <w:szCs w:val="22"/>
        </w:rPr>
      </w:pPr>
      <w:r>
        <w:rPr>
          <w:rFonts w:hint="eastAsia" w:ascii="宋体" w:hAnsi="宋体"/>
          <w:sz w:val="20"/>
          <w:szCs w:val="22"/>
        </w:rPr>
        <w:t>第三阶段：岗位实训，师带徒，让您在岗位上跟着给您指定的师傅进行学习</w:t>
      </w:r>
    </w:p>
    <w:p>
      <w:pPr>
        <w:spacing w:line="360" w:lineRule="auto"/>
        <w:rPr>
          <w:rFonts w:ascii="宋体" w:hAnsi="宋体"/>
          <w:sz w:val="20"/>
          <w:szCs w:val="22"/>
        </w:rPr>
      </w:pPr>
      <w:r>
        <w:rPr>
          <w:rFonts w:hint="eastAsia" w:ascii="宋体" w:hAnsi="宋体"/>
          <w:sz w:val="20"/>
          <w:szCs w:val="22"/>
        </w:rPr>
        <w:t>第四阶段：定岗及技能评定：结合您的学习实操情况，进行岗位确定和技能评定</w:t>
      </w:r>
    </w:p>
    <w:p>
      <w:pPr>
        <w:spacing w:line="360" w:lineRule="auto"/>
        <w:rPr>
          <w:rFonts w:ascii="PingFangSC-Medium" w:hAnsi="PingFangSC-Medium" w:eastAsia="PingFangSC-Medium" w:cs="PingFangSC-Medium"/>
          <w:color w:val="213543"/>
          <w:kern w:val="0"/>
          <w:sz w:val="24"/>
          <w:szCs w:val="24"/>
          <w:lang w:bidi="ar"/>
        </w:rPr>
      </w:pPr>
      <w:r>
        <w:rPr>
          <w:rFonts w:hint="eastAsia" w:ascii="PingFangSC-Medium" w:hAnsi="PingFangSC-Medium" w:eastAsia="PingFangSC-Medium" w:cs="PingFangSC-Medium"/>
          <w:color w:val="213543"/>
          <w:kern w:val="0"/>
          <w:sz w:val="24"/>
          <w:szCs w:val="24"/>
          <w:lang w:bidi="ar"/>
        </w:rPr>
        <w:t>职业发展：</w:t>
      </w:r>
    </w:p>
    <w:p>
      <w:pPr>
        <w:spacing w:line="360" w:lineRule="auto"/>
        <w:rPr>
          <w:rFonts w:ascii="宋体" w:hAnsi="宋体"/>
          <w:sz w:val="20"/>
          <w:szCs w:val="22"/>
        </w:rPr>
      </w:pPr>
      <w:r>
        <w:rPr>
          <w:rFonts w:hint="eastAsia" w:ascii="宋体" w:hAnsi="宋体"/>
          <w:sz w:val="20"/>
          <w:szCs w:val="22"/>
        </w:rPr>
        <w:t>技术通道：由初学者，成长初级技工-高级技工-技师-高级技师</w:t>
      </w:r>
    </w:p>
    <w:p>
      <w:pPr>
        <w:spacing w:line="360" w:lineRule="auto"/>
        <w:rPr>
          <w:rFonts w:ascii="宋体" w:hAnsi="宋体"/>
          <w:sz w:val="20"/>
          <w:szCs w:val="22"/>
        </w:rPr>
      </w:pPr>
      <w:r>
        <w:rPr>
          <w:rFonts w:hint="eastAsia" w:ascii="宋体" w:hAnsi="宋体"/>
          <w:sz w:val="20"/>
          <w:szCs w:val="22"/>
        </w:rPr>
        <w:t>管理通道：经过系统学习，从基本一线管理岗位，班长-组长-主管-经理</w:t>
      </w:r>
    </w:p>
    <w:p>
      <w:pPr>
        <w:widowControl/>
        <w:jc w:val="left"/>
        <w:rPr>
          <w:rFonts w:ascii="PingFangSC-Medium" w:hAnsi="PingFangSC-Medium" w:eastAsia="PingFangSC-Medium" w:cs="PingFangSC-Medium"/>
          <w:b/>
          <w:color w:val="213543"/>
          <w:kern w:val="0"/>
          <w:sz w:val="22"/>
          <w:szCs w:val="24"/>
          <w:lang w:bidi="ar"/>
        </w:rPr>
      </w:pPr>
      <w:r>
        <w:rPr>
          <w:rFonts w:hint="eastAsia" w:ascii="PingFangSC-Medium" w:hAnsi="PingFangSC-Medium" w:eastAsia="PingFangSC-Medium" w:cs="PingFangSC-Medium"/>
          <w:b/>
          <w:color w:val="213543"/>
          <w:kern w:val="0"/>
          <w:sz w:val="22"/>
          <w:szCs w:val="24"/>
          <w:lang w:bidi="ar"/>
        </w:rPr>
        <w:t>四、【薪资福利与激励】</w:t>
      </w:r>
    </w:p>
    <w:p>
      <w:pPr>
        <w:widowControl/>
        <w:jc w:val="left"/>
        <w:rPr>
          <w:rFonts w:ascii="PingFangSC-Medium" w:hAnsi="PingFangSC-Medium" w:eastAsia="PingFangSC-Medium" w:cs="PingFangSC-Medium"/>
          <w:color w:val="213543"/>
          <w:kern w:val="0"/>
          <w:sz w:val="24"/>
          <w:szCs w:val="24"/>
          <w:lang w:bidi="ar"/>
        </w:rPr>
      </w:pPr>
      <w:r>
        <w:rPr>
          <w:rFonts w:hint="eastAsia" w:ascii="PingFangSC-Medium" w:hAnsi="PingFangSC-Medium" w:eastAsia="PingFangSC-Medium" w:cs="PingFangSC-Medium"/>
          <w:color w:val="213543"/>
          <w:kern w:val="0"/>
          <w:sz w:val="24"/>
          <w:szCs w:val="24"/>
          <w:lang w:bidi="ar"/>
        </w:rPr>
        <w:t>有竞争力的薪酬体系</w:t>
      </w:r>
    </w:p>
    <w:p>
      <w:pPr>
        <w:spacing w:line="360" w:lineRule="auto"/>
        <w:ind w:left="1600" w:hanging="1600" w:hangingChars="800"/>
        <w:rPr>
          <w:rFonts w:hint="eastAsia" w:ascii="宋体" w:hAnsi="宋体"/>
          <w:sz w:val="20"/>
          <w:lang w:val="en-US" w:eastAsia="zh-CN"/>
        </w:rPr>
      </w:pPr>
      <w:r>
        <w:rPr>
          <w:rFonts w:hint="eastAsia" w:ascii="宋体" w:hAnsi="宋体"/>
          <w:sz w:val="20"/>
        </w:rPr>
        <w:t>——基本薪酬</w:t>
      </w:r>
      <w:r>
        <w:rPr>
          <w:rFonts w:ascii="宋体" w:hAnsi="宋体"/>
          <w:sz w:val="20"/>
        </w:rPr>
        <w:t xml:space="preserve"> : </w:t>
      </w:r>
      <w:r>
        <w:rPr>
          <w:rFonts w:hint="eastAsia" w:ascii="宋体" w:hAnsi="宋体"/>
          <w:sz w:val="20"/>
          <w:lang w:val="en-US" w:eastAsia="zh-CN"/>
        </w:rPr>
        <w:t>1.基本出勤工资3700元/月（单休制8小时，前提是没有任何休假、旷工、满勤的情况）</w:t>
      </w:r>
    </w:p>
    <w:p>
      <w:pPr>
        <w:numPr>
          <w:ilvl w:val="0"/>
          <w:numId w:val="1"/>
        </w:numPr>
        <w:spacing w:line="360" w:lineRule="auto"/>
        <w:ind w:left="1400" w:leftChars="0" w:firstLine="0" w:firstLineChars="0"/>
        <w:rPr>
          <w:rFonts w:hint="eastAsia" w:ascii="宋体" w:hAnsi="宋体"/>
          <w:sz w:val="20"/>
          <w:lang w:val="en-US" w:eastAsia="zh-CN"/>
        </w:rPr>
      </w:pPr>
      <w:r>
        <w:rPr>
          <w:rFonts w:hint="eastAsia" w:ascii="宋体" w:hAnsi="宋体"/>
          <w:sz w:val="20"/>
          <w:lang w:val="en-US" w:eastAsia="zh-CN"/>
        </w:rPr>
        <w:t>加班费：统一20.5元/时（包含平时加班及周日加班）</w:t>
      </w:r>
    </w:p>
    <w:p>
      <w:pPr>
        <w:numPr>
          <w:ilvl w:val="0"/>
          <w:numId w:val="1"/>
        </w:numPr>
        <w:spacing w:line="360" w:lineRule="auto"/>
        <w:ind w:left="1400" w:leftChars="0" w:firstLine="0" w:firstLineChars="0"/>
        <w:rPr>
          <w:rFonts w:hint="default" w:ascii="宋体" w:hAnsi="宋体"/>
          <w:sz w:val="20"/>
          <w:lang w:val="en-US" w:eastAsia="zh-CN"/>
        </w:rPr>
      </w:pPr>
      <w:r>
        <w:rPr>
          <w:rFonts w:hint="eastAsia" w:ascii="宋体" w:hAnsi="宋体"/>
          <w:sz w:val="20"/>
          <w:lang w:val="en-US" w:eastAsia="zh-CN"/>
        </w:rPr>
        <w:t>餐补：工作10元/餐标准，中午10元，晚上10元（自助餐形式）</w:t>
      </w:r>
    </w:p>
    <w:p>
      <w:pPr>
        <w:numPr>
          <w:ilvl w:val="0"/>
          <w:numId w:val="1"/>
        </w:numPr>
        <w:spacing w:line="360" w:lineRule="auto"/>
        <w:ind w:left="1400" w:leftChars="0" w:firstLine="0" w:firstLineChars="0"/>
        <w:rPr>
          <w:rFonts w:hint="default" w:ascii="宋体" w:hAnsi="宋体"/>
          <w:sz w:val="20"/>
          <w:lang w:val="en-US" w:eastAsia="zh-CN"/>
        </w:rPr>
      </w:pPr>
      <w:r>
        <w:rPr>
          <w:rFonts w:hint="eastAsia" w:ascii="宋体" w:hAnsi="宋体"/>
          <w:sz w:val="20"/>
          <w:lang w:val="en-US" w:eastAsia="zh-CN"/>
        </w:rPr>
        <w:t>绩效奖金：0-400元/月不等（根据岗位不同，有绩效考核）</w:t>
      </w:r>
    </w:p>
    <w:p>
      <w:pPr>
        <w:numPr>
          <w:ilvl w:val="0"/>
          <w:numId w:val="1"/>
        </w:numPr>
        <w:spacing w:line="360" w:lineRule="auto"/>
        <w:ind w:left="1400" w:leftChars="0" w:firstLine="0" w:firstLineChars="0"/>
        <w:rPr>
          <w:rFonts w:hint="default" w:ascii="宋体" w:hAnsi="宋体"/>
          <w:sz w:val="20"/>
          <w:lang w:val="en-US" w:eastAsia="zh-CN"/>
        </w:rPr>
      </w:pPr>
      <w:r>
        <w:rPr>
          <w:rFonts w:hint="eastAsia" w:ascii="宋体" w:hAnsi="宋体"/>
          <w:sz w:val="20"/>
          <w:lang w:val="en-US" w:eastAsia="zh-CN"/>
        </w:rPr>
        <w:t>优秀实习生：0-300元/月不等</w:t>
      </w:r>
    </w:p>
    <w:p>
      <w:pPr>
        <w:numPr>
          <w:ilvl w:val="0"/>
          <w:numId w:val="1"/>
        </w:numPr>
        <w:spacing w:line="360" w:lineRule="auto"/>
        <w:ind w:left="1400" w:leftChars="0" w:firstLine="0" w:firstLineChars="0"/>
        <w:rPr>
          <w:rFonts w:hint="default" w:ascii="宋体" w:hAnsi="宋体"/>
          <w:sz w:val="20"/>
          <w:lang w:val="en-US" w:eastAsia="zh-CN"/>
        </w:rPr>
      </w:pPr>
      <w:r>
        <w:rPr>
          <w:rFonts w:hint="eastAsia" w:ascii="宋体" w:hAnsi="宋体"/>
          <w:sz w:val="20"/>
          <w:lang w:val="en-US" w:eastAsia="zh-CN"/>
        </w:rPr>
        <w:t>入职一周可以申请预支工资，每周标准150-200元</w:t>
      </w:r>
    </w:p>
    <w:p>
      <w:pPr>
        <w:numPr>
          <w:ilvl w:val="0"/>
          <w:numId w:val="1"/>
        </w:numPr>
        <w:spacing w:line="360" w:lineRule="auto"/>
        <w:ind w:left="1400" w:leftChars="0" w:firstLine="0" w:firstLineChars="0"/>
        <w:rPr>
          <w:rFonts w:hint="eastAsia" w:ascii="宋体" w:hAnsi="宋体"/>
          <w:sz w:val="20"/>
        </w:rPr>
      </w:pPr>
      <w:r>
        <w:rPr>
          <w:rFonts w:hint="eastAsia" w:ascii="宋体" w:hAnsi="宋体"/>
          <w:sz w:val="20"/>
          <w:lang w:val="en-US" w:eastAsia="zh-CN"/>
        </w:rPr>
        <w:t>住宿免费，6-8人间不等，水电均摊，</w:t>
      </w:r>
      <w:r>
        <w:rPr>
          <w:rFonts w:hint="eastAsia" w:ascii="宋体" w:hAnsi="宋体"/>
          <w:sz w:val="20"/>
        </w:rPr>
        <w:t>,空调、独立洗衣机、热水器，免费网络等设施</w:t>
      </w:r>
      <w:r>
        <w:rPr>
          <w:rFonts w:hint="eastAsia" w:ascii="宋体" w:hAnsi="宋体"/>
          <w:sz w:val="20"/>
          <w:lang w:val="en-US" w:eastAsia="zh-CN"/>
        </w:rPr>
        <w:t xml:space="preserve">   </w:t>
      </w:r>
      <w:r>
        <w:rPr>
          <w:rFonts w:hint="eastAsia" w:ascii="宋体" w:hAnsi="宋体"/>
          <w:sz w:val="20"/>
        </w:rPr>
        <w:t>配套齐全。</w:t>
      </w:r>
    </w:p>
    <w:p>
      <w:pPr>
        <w:numPr>
          <w:ilvl w:val="0"/>
          <w:numId w:val="1"/>
        </w:numPr>
        <w:spacing w:line="360" w:lineRule="auto"/>
        <w:ind w:left="1400" w:leftChars="0" w:firstLine="0" w:firstLineChars="0"/>
        <w:rPr>
          <w:rFonts w:ascii="宋体" w:hAnsi="宋体"/>
          <w:sz w:val="20"/>
        </w:rPr>
      </w:pPr>
      <w:r>
        <w:rPr>
          <w:rFonts w:hint="eastAsia" w:ascii="宋体" w:hAnsi="宋体"/>
          <w:sz w:val="20"/>
          <w:lang w:eastAsia="zh-CN"/>
        </w:rPr>
        <w:t>综上所述：前三月实习综合薪资</w:t>
      </w:r>
      <w:r>
        <w:rPr>
          <w:rFonts w:hint="eastAsia" w:ascii="宋体" w:hAnsi="宋体"/>
          <w:sz w:val="20"/>
          <w:lang w:val="en-US" w:eastAsia="zh-CN"/>
        </w:rPr>
        <w:t>5000-6500元/月；</w:t>
      </w:r>
      <w:r>
        <w:rPr>
          <w:rFonts w:hint="eastAsia" w:ascii="宋体" w:hAnsi="宋体"/>
          <w:sz w:val="20"/>
        </w:rPr>
        <w:t>3个月结束薪酬5</w:t>
      </w:r>
      <w:r>
        <w:rPr>
          <w:rFonts w:ascii="宋体" w:hAnsi="宋体"/>
          <w:sz w:val="20"/>
        </w:rPr>
        <w:t>5</w:t>
      </w:r>
      <w:r>
        <w:rPr>
          <w:rFonts w:hint="eastAsia" w:ascii="宋体" w:hAnsi="宋体"/>
          <w:sz w:val="20"/>
        </w:rPr>
        <w:t>00-</w:t>
      </w:r>
      <w:r>
        <w:rPr>
          <w:rFonts w:ascii="宋体" w:hAnsi="宋体"/>
          <w:sz w:val="20"/>
        </w:rPr>
        <w:t>70</w:t>
      </w:r>
      <w:r>
        <w:rPr>
          <w:rFonts w:hint="eastAsia" w:ascii="宋体" w:hAnsi="宋体"/>
          <w:sz w:val="20"/>
        </w:rPr>
        <w:t>00元/月，</w:t>
      </w:r>
    </w:p>
    <w:p>
      <w:pPr>
        <w:spacing w:line="360" w:lineRule="auto"/>
        <w:ind w:firstLine="1400" w:firstLineChars="700"/>
        <w:rPr>
          <w:rFonts w:ascii="宋体" w:hAnsi="宋体"/>
          <w:sz w:val="20"/>
        </w:rPr>
      </w:pPr>
      <w:r>
        <w:rPr>
          <w:rFonts w:hint="eastAsia" w:ascii="宋体" w:hAnsi="宋体"/>
          <w:sz w:val="20"/>
          <w:lang w:val="en-US" w:eastAsia="zh-CN"/>
        </w:rPr>
        <w:t>9.</w:t>
      </w:r>
      <w:r>
        <w:rPr>
          <w:rFonts w:hint="eastAsia" w:ascii="宋体" w:hAnsi="宋体"/>
          <w:sz w:val="20"/>
        </w:rPr>
        <w:t>拿毕业证直接缴纳六险一金。</w:t>
      </w:r>
    </w:p>
    <w:p>
      <w:pPr>
        <w:spacing w:line="360" w:lineRule="auto"/>
        <w:rPr>
          <w:rFonts w:ascii="宋体" w:hAnsi="宋体"/>
          <w:sz w:val="20"/>
        </w:rPr>
      </w:pPr>
      <w:r>
        <w:rPr>
          <w:rFonts w:hint="eastAsia" w:ascii="宋体" w:hAnsi="宋体"/>
          <w:sz w:val="20"/>
        </w:rPr>
        <w:t>——年度奖金：业绩导向，与公司和个人的年度绩效达成挂钩；</w:t>
      </w:r>
    </w:p>
    <w:p>
      <w:pPr>
        <w:spacing w:line="360" w:lineRule="auto"/>
      </w:pPr>
      <w:r>
        <w:rPr>
          <w:rFonts w:hint="eastAsia" w:ascii="宋体" w:hAnsi="宋体"/>
          <w:sz w:val="20"/>
        </w:rPr>
        <w:t>——中长期激励：服务满一定年限提供现金或实物奖励，成长为公司</w:t>
      </w:r>
      <w:r>
        <w:rPr>
          <w:rFonts w:ascii="宋体" w:hAnsi="宋体"/>
          <w:sz w:val="20"/>
        </w:rPr>
        <w:t>关键核心人才</w:t>
      </w:r>
      <w:r>
        <w:rPr>
          <w:rFonts w:hint="eastAsia" w:ascii="宋体" w:hAnsi="宋体"/>
          <w:sz w:val="20"/>
        </w:rPr>
        <w:t>有机会获得股权激励。</w:t>
      </w:r>
      <w:r>
        <w:rPr>
          <w:rFonts w:hint="eastAsia"/>
        </w:rPr>
        <w:t xml:space="preserve"> </w:t>
      </w:r>
    </w:p>
    <w:p>
      <w:pPr>
        <w:spacing w:line="360" w:lineRule="auto"/>
        <w:jc w:val="left"/>
        <w:rPr>
          <w:rFonts w:ascii="宋体" w:hAnsi="宋体"/>
        </w:rPr>
      </w:pPr>
      <w:r>
        <w:rPr>
          <w:rFonts w:hint="eastAsia" w:ascii="宋体" w:hAnsi="宋体"/>
          <w:b/>
        </w:rPr>
        <w:t>公司地址：</w:t>
      </w:r>
      <w:r>
        <w:rPr>
          <w:rFonts w:hint="eastAsia" w:ascii="宋体" w:hAnsi="宋体"/>
        </w:rPr>
        <w:t>浙江省金华市新能源汽车城</w:t>
      </w:r>
    </w:p>
    <w:p>
      <w:pPr>
        <w:spacing w:line="360" w:lineRule="auto"/>
        <w:jc w:val="left"/>
        <w:rPr>
          <w:rStyle w:val="8"/>
          <w:rFonts w:hint="eastAsia" w:ascii="宋体" w:hAnsi="宋体" w:eastAsia="宋体"/>
          <w:color w:val="auto"/>
          <w:u w:val="none"/>
          <w:lang w:eastAsia="zh-CN"/>
        </w:rPr>
      </w:pPr>
      <w:r>
        <w:rPr>
          <w:rFonts w:hint="eastAsia" w:ascii="宋体" w:hAnsi="宋体"/>
          <w:b/>
        </w:rPr>
        <w:t>公司官网：</w:t>
      </w:r>
      <w:r>
        <w:fldChar w:fldCharType="begin"/>
      </w:r>
      <w:r>
        <w:instrText xml:space="preserve"> HYPERLINK "https://www.leapmotor.com/" </w:instrText>
      </w:r>
      <w:r>
        <w:fldChar w:fldCharType="separate"/>
      </w:r>
      <w:r>
        <w:rPr>
          <w:rStyle w:val="8"/>
          <w:rFonts w:ascii="宋体" w:hAnsi="宋体"/>
          <w:color w:val="auto"/>
          <w:u w:val="none"/>
        </w:rPr>
        <w:t>https://www.leapmotor.com/</w:t>
      </w:r>
      <w:r>
        <w:rPr>
          <w:rStyle w:val="8"/>
          <w:rFonts w:ascii="宋体" w:hAnsi="宋体"/>
          <w:color w:val="auto"/>
          <w:u w:val="none"/>
        </w:rPr>
        <w:fldChar w:fldCharType="end"/>
      </w:r>
    </w:p>
    <w:sectPr>
      <w:headerReference r:id="rId3" w:type="default"/>
      <w:footerReference r:id="rId4" w:type="default"/>
      <w:pgSz w:w="11906" w:h="16838"/>
      <w:pgMar w:top="1134" w:right="1418" w:bottom="1134" w:left="1418" w:header="794" w:footer="79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PingFangSC-Medium">
    <w:altName w:val="微软雅黑"/>
    <w:panose1 w:val="00000000000000000000"/>
    <w:charset w:val="86"/>
    <w:family w:val="auto"/>
    <w:pitch w:val="default"/>
    <w:sig w:usb0="00000000" w:usb1="00000000" w:usb2="00000017" w:usb3="00000000" w:csb0="00040001" w:csb1="00000000"/>
  </w:font>
  <w:font w:name="SourceHanSansCN-Ligh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1821893"/>
    </w:sdtPr>
    <w:sdtContent>
      <w:sdt>
        <w:sdtPr>
          <w:id w:val="900710528"/>
        </w:sdtPr>
        <w:sdtContent>
          <w:p>
            <w:pPr>
              <w:pStyle w:val="2"/>
              <w:jc w:val="center"/>
            </w:pPr>
            <w:r>
              <w:rPr>
                <w:rFonts w:ascii="宋体" w:hAnsi="宋体"/>
                <w:lang w:val="zh-CN"/>
              </w:rPr>
              <w:t xml:space="preserve"> </w:t>
            </w:r>
            <w:r>
              <w:rPr>
                <w:rFonts w:ascii="宋体" w:hAnsi="宋体"/>
                <w:bCs/>
                <w:sz w:val="13"/>
                <w:szCs w:val="13"/>
              </w:rPr>
              <w:fldChar w:fldCharType="begin"/>
            </w:r>
            <w:r>
              <w:rPr>
                <w:rFonts w:ascii="宋体" w:hAnsi="宋体"/>
                <w:bCs/>
                <w:sz w:val="13"/>
                <w:szCs w:val="13"/>
              </w:rPr>
              <w:instrText xml:space="preserve">PAGE</w:instrText>
            </w:r>
            <w:r>
              <w:rPr>
                <w:rFonts w:ascii="宋体" w:hAnsi="宋体"/>
                <w:bCs/>
                <w:sz w:val="13"/>
                <w:szCs w:val="13"/>
              </w:rPr>
              <w:fldChar w:fldCharType="separate"/>
            </w:r>
            <w:r>
              <w:rPr>
                <w:rFonts w:ascii="宋体" w:hAnsi="宋体"/>
                <w:bCs/>
                <w:sz w:val="13"/>
                <w:szCs w:val="13"/>
              </w:rPr>
              <w:t>1</w:t>
            </w:r>
            <w:r>
              <w:rPr>
                <w:rFonts w:ascii="宋体" w:hAnsi="宋体"/>
                <w:bCs/>
                <w:sz w:val="13"/>
                <w:szCs w:val="13"/>
              </w:rPr>
              <w:fldChar w:fldCharType="end"/>
            </w:r>
            <w:r>
              <w:rPr>
                <w:rFonts w:ascii="宋体" w:hAnsi="宋体"/>
                <w:sz w:val="13"/>
                <w:szCs w:val="13"/>
                <w:lang w:val="zh-CN"/>
              </w:rPr>
              <w:t xml:space="preserve"> / </w:t>
            </w:r>
            <w:r>
              <w:rPr>
                <w:rFonts w:hint="eastAsia" w:ascii="宋体" w:hAnsi="宋体"/>
                <w:sz w:val="13"/>
                <w:szCs w:val="13"/>
                <w:lang w:val="zh-CN"/>
              </w:rPr>
              <w:t>2</w:t>
            </w:r>
          </w:p>
        </w:sdtContent>
      </w:sdt>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left"/>
      <w:rPr>
        <w:u w:val="single"/>
      </w:rPr>
    </w:pP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AE2408"/>
    <w:multiLevelType w:val="singleLevel"/>
    <w:tmpl w:val="C8AE2408"/>
    <w:lvl w:ilvl="0" w:tentative="0">
      <w:start w:val="2"/>
      <w:numFmt w:val="decimal"/>
      <w:lvlText w:val="%1."/>
      <w:lvlJc w:val="left"/>
      <w:pPr>
        <w:tabs>
          <w:tab w:val="left" w:pos="312"/>
        </w:tabs>
        <w:ind w:left="140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ZhNGNhYzNlYzc5YjM1MmQ5ZTc5MzQwZGM0OTU0NTgifQ=="/>
  </w:docVars>
  <w:rsids>
    <w:rsidRoot w:val="004521B8"/>
    <w:rsid w:val="00020CE4"/>
    <w:rsid w:val="00035D34"/>
    <w:rsid w:val="000458F9"/>
    <w:rsid w:val="00066148"/>
    <w:rsid w:val="00073D28"/>
    <w:rsid w:val="000C696E"/>
    <w:rsid w:val="001624EF"/>
    <w:rsid w:val="001D2060"/>
    <w:rsid w:val="001E773B"/>
    <w:rsid w:val="003D0C98"/>
    <w:rsid w:val="003E2FA5"/>
    <w:rsid w:val="004022C1"/>
    <w:rsid w:val="00414C83"/>
    <w:rsid w:val="00423F7C"/>
    <w:rsid w:val="00440EC1"/>
    <w:rsid w:val="004521B8"/>
    <w:rsid w:val="004774DF"/>
    <w:rsid w:val="00492C38"/>
    <w:rsid w:val="004F527F"/>
    <w:rsid w:val="0056206F"/>
    <w:rsid w:val="0059694F"/>
    <w:rsid w:val="00627CAA"/>
    <w:rsid w:val="006B75A2"/>
    <w:rsid w:val="006D4A30"/>
    <w:rsid w:val="006F011C"/>
    <w:rsid w:val="007050CD"/>
    <w:rsid w:val="00711C4C"/>
    <w:rsid w:val="0077064E"/>
    <w:rsid w:val="007A1AD7"/>
    <w:rsid w:val="007C4453"/>
    <w:rsid w:val="00831260"/>
    <w:rsid w:val="00867846"/>
    <w:rsid w:val="008B0C8C"/>
    <w:rsid w:val="008E7E1B"/>
    <w:rsid w:val="0093229F"/>
    <w:rsid w:val="0097018F"/>
    <w:rsid w:val="00A002C4"/>
    <w:rsid w:val="00A1156E"/>
    <w:rsid w:val="00A32BE1"/>
    <w:rsid w:val="00A53C6E"/>
    <w:rsid w:val="00A851D5"/>
    <w:rsid w:val="00AB3917"/>
    <w:rsid w:val="00AD0224"/>
    <w:rsid w:val="00AD57F3"/>
    <w:rsid w:val="00B04130"/>
    <w:rsid w:val="00B12710"/>
    <w:rsid w:val="00B71D13"/>
    <w:rsid w:val="00B81842"/>
    <w:rsid w:val="00BA55B1"/>
    <w:rsid w:val="00BD1928"/>
    <w:rsid w:val="00C0650B"/>
    <w:rsid w:val="00C651F7"/>
    <w:rsid w:val="00C85659"/>
    <w:rsid w:val="00CC1100"/>
    <w:rsid w:val="00CD5F70"/>
    <w:rsid w:val="00D0676B"/>
    <w:rsid w:val="00D225CC"/>
    <w:rsid w:val="00D77DD9"/>
    <w:rsid w:val="00DA7929"/>
    <w:rsid w:val="00DC0982"/>
    <w:rsid w:val="00DC46A3"/>
    <w:rsid w:val="00DD5814"/>
    <w:rsid w:val="00DD59F7"/>
    <w:rsid w:val="00DF41F1"/>
    <w:rsid w:val="00E004E5"/>
    <w:rsid w:val="00E23A11"/>
    <w:rsid w:val="00E243E2"/>
    <w:rsid w:val="00E91895"/>
    <w:rsid w:val="00EC22A4"/>
    <w:rsid w:val="00EC7129"/>
    <w:rsid w:val="00F85608"/>
    <w:rsid w:val="00F9440F"/>
    <w:rsid w:val="00FB51FE"/>
    <w:rsid w:val="00FC6993"/>
    <w:rsid w:val="02385327"/>
    <w:rsid w:val="02E828A9"/>
    <w:rsid w:val="04E93F8D"/>
    <w:rsid w:val="07D142FB"/>
    <w:rsid w:val="0995305F"/>
    <w:rsid w:val="0A6937F7"/>
    <w:rsid w:val="0E9B3772"/>
    <w:rsid w:val="0F721887"/>
    <w:rsid w:val="10232BF2"/>
    <w:rsid w:val="117A232E"/>
    <w:rsid w:val="122B27B2"/>
    <w:rsid w:val="139E1E60"/>
    <w:rsid w:val="13B73FCA"/>
    <w:rsid w:val="13E13F05"/>
    <w:rsid w:val="13EF268F"/>
    <w:rsid w:val="15802E15"/>
    <w:rsid w:val="15DF7812"/>
    <w:rsid w:val="182E72CB"/>
    <w:rsid w:val="1C415ACC"/>
    <w:rsid w:val="1C480E0C"/>
    <w:rsid w:val="1D776877"/>
    <w:rsid w:val="1DD00122"/>
    <w:rsid w:val="22E02961"/>
    <w:rsid w:val="258E2EC9"/>
    <w:rsid w:val="25C00E43"/>
    <w:rsid w:val="260571DC"/>
    <w:rsid w:val="2767674F"/>
    <w:rsid w:val="2ADE01C7"/>
    <w:rsid w:val="2AE80DE9"/>
    <w:rsid w:val="2B4C75CA"/>
    <w:rsid w:val="2B51698E"/>
    <w:rsid w:val="2B6A7747"/>
    <w:rsid w:val="2B773A93"/>
    <w:rsid w:val="2CB0321F"/>
    <w:rsid w:val="2D013EFA"/>
    <w:rsid w:val="2DF676C3"/>
    <w:rsid w:val="2FBE01D2"/>
    <w:rsid w:val="305E6CFD"/>
    <w:rsid w:val="30940EAD"/>
    <w:rsid w:val="31CE57F6"/>
    <w:rsid w:val="323D7920"/>
    <w:rsid w:val="336B1457"/>
    <w:rsid w:val="33B76E2F"/>
    <w:rsid w:val="352A535F"/>
    <w:rsid w:val="38624DAF"/>
    <w:rsid w:val="386F007E"/>
    <w:rsid w:val="3A6C78B2"/>
    <w:rsid w:val="3AD2116E"/>
    <w:rsid w:val="3B6245BC"/>
    <w:rsid w:val="3CD855AB"/>
    <w:rsid w:val="41B8730F"/>
    <w:rsid w:val="47324947"/>
    <w:rsid w:val="47AC31C8"/>
    <w:rsid w:val="488B7EE4"/>
    <w:rsid w:val="4B52749E"/>
    <w:rsid w:val="4B895879"/>
    <w:rsid w:val="4C455C9B"/>
    <w:rsid w:val="4C4A5008"/>
    <w:rsid w:val="4D106251"/>
    <w:rsid w:val="4E7F0865"/>
    <w:rsid w:val="50630CCD"/>
    <w:rsid w:val="509C604E"/>
    <w:rsid w:val="51A4340C"/>
    <w:rsid w:val="51CD6F6F"/>
    <w:rsid w:val="52A13C0C"/>
    <w:rsid w:val="52C60904"/>
    <w:rsid w:val="571E156B"/>
    <w:rsid w:val="57FB18AC"/>
    <w:rsid w:val="597E7815"/>
    <w:rsid w:val="5AA06699"/>
    <w:rsid w:val="5B5639C9"/>
    <w:rsid w:val="5E6E102A"/>
    <w:rsid w:val="5FC94918"/>
    <w:rsid w:val="5FD100A0"/>
    <w:rsid w:val="611E7035"/>
    <w:rsid w:val="61265BEC"/>
    <w:rsid w:val="61A90192"/>
    <w:rsid w:val="62C809C3"/>
    <w:rsid w:val="64175718"/>
    <w:rsid w:val="699B7CF7"/>
    <w:rsid w:val="69BD054A"/>
    <w:rsid w:val="6A58492A"/>
    <w:rsid w:val="6A7A2B04"/>
    <w:rsid w:val="6DF76D7E"/>
    <w:rsid w:val="6F3333EC"/>
    <w:rsid w:val="70B57BC5"/>
    <w:rsid w:val="72766FDF"/>
    <w:rsid w:val="72A42E14"/>
    <w:rsid w:val="73DB50CC"/>
    <w:rsid w:val="767B0139"/>
    <w:rsid w:val="771A36A5"/>
    <w:rsid w:val="77B1097A"/>
    <w:rsid w:val="77D85E4E"/>
    <w:rsid w:val="7B1623D5"/>
    <w:rsid w:val="7BE054C4"/>
    <w:rsid w:val="7DDB1D8C"/>
    <w:rsid w:val="7EDA3278"/>
    <w:rsid w:val="7F17559D"/>
    <w:rsid w:val="7FEFB8C4"/>
    <w:rsid w:val="7FFA3555"/>
    <w:rsid w:val="93BE2674"/>
    <w:rsid w:val="BAFA5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页眉 字符"/>
    <w:basedOn w:val="7"/>
    <w:link w:val="3"/>
    <w:qFormat/>
    <w:uiPriority w:val="99"/>
    <w:rPr>
      <w:sz w:val="18"/>
      <w:szCs w:val="18"/>
    </w:rPr>
  </w:style>
  <w:style w:type="character" w:customStyle="1" w:styleId="10">
    <w:name w:val="页脚 字符"/>
    <w:basedOn w:val="7"/>
    <w:link w:val="2"/>
    <w:qFormat/>
    <w:uiPriority w:val="99"/>
    <w:rPr>
      <w:sz w:val="18"/>
      <w:szCs w:val="18"/>
    </w:rPr>
  </w:style>
  <w:style w:type="paragraph" w:customStyle="1" w:styleId="11">
    <w:name w:val="列出段落1"/>
    <w:basedOn w:val="1"/>
    <w:qFormat/>
    <w:uiPriority w:val="34"/>
    <w:pPr>
      <w:ind w:firstLine="420" w:firstLineChars="200"/>
    </w:pPr>
  </w:style>
  <w:style w:type="character" w:customStyle="1" w:styleId="12">
    <w:name w:val="未处理的提及1"/>
    <w:basedOn w:val="7"/>
    <w:unhideWhenUsed/>
    <w:qFormat/>
    <w:uiPriority w:val="99"/>
    <w:rPr>
      <w:color w:val="605E5C"/>
      <w:shd w:val="clear" w:color="auto" w:fill="E1DFDD"/>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Leapmotor</Company>
  <Pages>2</Pages>
  <Words>1158</Words>
  <Characters>1260</Characters>
  <Lines>11</Lines>
  <Paragraphs>3</Paragraphs>
  <TotalTime>2</TotalTime>
  <ScaleCrop>false</ScaleCrop>
  <LinksUpToDate>false</LinksUpToDate>
  <CharactersWithSpaces>1266</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2020-10-20T23:43:00Z</dcterms:created>
  <dc:creator>叶波</dc:creator>
  <cp:lastModifiedBy>WPS_1694303832</cp:lastModifiedBy>
  <cp:lastPrinted>2021-04-03T00:35:00Z</cp:lastPrinted>
  <dcterms:modified xsi:type="dcterms:W3CDTF">2023-12-19T08:36:17Z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CD1603E0164341A38914F70C412B07B7_13</vt:lpwstr>
  </property>
</Properties>
</file>