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1"/>
        <w:ind w:right="73"/>
        <w:jc w:val="center"/>
        <w:rPr>
          <w:rFonts w:ascii="黑体" w:eastAsia="黑体"/>
          <w:sz w:val="36"/>
          <w:szCs w:val="36"/>
        </w:rPr>
      </w:pPr>
      <w:r>
        <w:rPr>
          <w:rFonts w:hint="eastAsia" w:ascii="黑体" w:eastAsia="黑体"/>
          <w:sz w:val="36"/>
          <w:szCs w:val="36"/>
        </w:rPr>
        <w:t>浙江石油化工有限公司—世界5</w:t>
      </w:r>
      <w:r>
        <w:rPr>
          <w:rFonts w:ascii="黑体" w:eastAsia="黑体"/>
          <w:sz w:val="36"/>
          <w:szCs w:val="36"/>
        </w:rPr>
        <w:t>00</w:t>
      </w:r>
      <w:r>
        <w:rPr>
          <w:rFonts w:hint="eastAsia" w:ascii="黑体" w:eastAsia="黑体"/>
          <w:sz w:val="36"/>
          <w:szCs w:val="36"/>
        </w:rPr>
        <w:t>强子公司</w:t>
      </w:r>
    </w:p>
    <w:p>
      <w:pPr>
        <w:spacing w:before="11"/>
        <w:ind w:right="73"/>
        <w:jc w:val="center"/>
        <w:rPr>
          <w:rFonts w:hint="eastAsia" w:ascii="黑体" w:eastAsia="黑体"/>
          <w:sz w:val="36"/>
          <w:szCs w:val="36"/>
          <w:lang w:eastAsia="zh-CN"/>
        </w:rPr>
      </w:pPr>
      <w:r>
        <w:rPr>
          <w:rFonts w:hint="eastAsia" w:ascii="黑体" w:eastAsia="黑体"/>
          <w:sz w:val="36"/>
          <w:szCs w:val="36"/>
        </w:rPr>
        <w:t>2</w:t>
      </w:r>
      <w:r>
        <w:rPr>
          <w:rFonts w:ascii="黑体" w:eastAsia="黑体"/>
          <w:sz w:val="36"/>
          <w:szCs w:val="36"/>
        </w:rPr>
        <w:t>023</w:t>
      </w:r>
      <w:r>
        <w:rPr>
          <w:rFonts w:hint="eastAsia" w:ascii="黑体" w:eastAsia="黑体"/>
          <w:sz w:val="36"/>
          <w:szCs w:val="36"/>
        </w:rPr>
        <w:t>年</w:t>
      </w:r>
      <w:r>
        <w:rPr>
          <w:rFonts w:ascii="黑体" w:eastAsia="黑体"/>
          <w:sz w:val="36"/>
          <w:szCs w:val="36"/>
        </w:rPr>
        <w:t>秋</w:t>
      </w:r>
      <w:r>
        <w:rPr>
          <w:rFonts w:hint="eastAsia" w:ascii="黑体" w:eastAsia="黑体"/>
          <w:sz w:val="36"/>
          <w:szCs w:val="36"/>
        </w:rPr>
        <w:t>季招聘</w:t>
      </w:r>
      <w:r>
        <w:rPr>
          <w:rFonts w:hint="eastAsia" w:ascii="黑体" w:eastAsia="黑体"/>
          <w:sz w:val="36"/>
          <w:szCs w:val="36"/>
          <w:lang w:eastAsia="zh-CN"/>
        </w:rPr>
        <w:t>简章</w:t>
      </w:r>
    </w:p>
    <w:p>
      <w:pPr>
        <w:ind w:firstLine="560" w:firstLineChars="200"/>
        <w:rPr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浙江石油化工有限公司成立于2015年6月18日，位于浙江省舟山绿色石化基地内，是浙江荣盛控股集团有限公司（2023年财富世界500强第136位）旗下子公司荣盛石化股份有限公司控股的混合所有制企业。公司主营石油炼化及多品类高附加值化工品生产，项目单体炼化一体化规模位居世界第一，年加工原油4000万吨，年产芳烃1180万吨、乙烯420万吨，是中国（浙江）自由贸易试验区打造油品全产业链，落实“三基地一中心”发展战略的重要依托工程。</w:t>
      </w:r>
    </w:p>
    <w:p>
      <w:pPr>
        <w:ind w:firstLine="560" w:firstLineChars="200"/>
        <w:rPr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公司总投资超2000亿元，现有员工12000余人，2021年成为舟山首个千亿级企业，2022年营收超2300亿元。公司顺利建成投产，对优化长三角区域石化产业布局、提高浙江省基础化工原料供应能力和下游石化产品市场竞争力、以及对我国进一步参与全球石化产业分工，实施国家“一带一路”战略，促进国家石化产业转型升级具有积极的意义。</w:t>
      </w:r>
      <w:r>
        <w:rPr>
          <w:rFonts w:hint="eastAsia"/>
          <w:b/>
          <w:sz w:val="28"/>
          <w:szCs w:val="32"/>
        </w:rPr>
        <w:t>招聘相关政策:</w:t>
      </w:r>
    </w:p>
    <w:p>
      <w:pPr>
        <w:spacing w:line="580" w:lineRule="exact"/>
        <w:ind w:firstLine="560" w:firstLineChars="200"/>
        <w:rPr>
          <w:sz w:val="28"/>
          <w:szCs w:val="32"/>
        </w:rPr>
      </w:pPr>
      <w:r>
        <w:rPr>
          <w:rFonts w:hint="eastAsia"/>
          <w:sz w:val="28"/>
          <w:szCs w:val="32"/>
        </w:rPr>
        <w:t>1、经面试及体检合格后，与浙江石化及其子公司签订劳动合同，一般劳动合同</w:t>
      </w:r>
      <w:r>
        <w:rPr>
          <w:sz w:val="28"/>
          <w:szCs w:val="32"/>
        </w:rPr>
        <w:t>签订</w:t>
      </w:r>
      <w:r>
        <w:rPr>
          <w:rFonts w:hint="eastAsia"/>
          <w:sz w:val="28"/>
          <w:szCs w:val="32"/>
        </w:rPr>
        <w:t>时间为三年。</w:t>
      </w:r>
    </w:p>
    <w:p>
      <w:pPr>
        <w:spacing w:line="580" w:lineRule="exact"/>
        <w:ind w:firstLine="560" w:firstLineChars="200"/>
        <w:rPr>
          <w:sz w:val="28"/>
          <w:szCs w:val="32"/>
        </w:rPr>
      </w:pPr>
      <w:r>
        <w:rPr>
          <w:rFonts w:hint="eastAsia"/>
          <w:sz w:val="28"/>
          <w:szCs w:val="32"/>
        </w:rPr>
        <w:t>2、公司拥有完善的薪酬分配体系，实行岗位年薪制（税后），税后是指个税部分和“五险一金”公司缴纳部分均由公司缴纳。</w:t>
      </w:r>
    </w:p>
    <w:p>
      <w:pPr>
        <w:spacing w:line="580" w:lineRule="exact"/>
        <w:ind w:firstLine="560" w:firstLineChars="200"/>
        <w:rPr>
          <w:sz w:val="28"/>
          <w:szCs w:val="32"/>
        </w:rPr>
      </w:pPr>
      <w:r>
        <w:rPr>
          <w:rFonts w:hint="eastAsia"/>
          <w:sz w:val="28"/>
          <w:szCs w:val="32"/>
        </w:rPr>
        <w:t>3、对新招聘员工薪酬待遇分两种情况：</w:t>
      </w:r>
    </w:p>
    <w:p>
      <w:pPr>
        <w:spacing w:line="580" w:lineRule="exact"/>
        <w:ind w:firstLine="560" w:firstLineChars="200"/>
        <w:rPr>
          <w:sz w:val="28"/>
          <w:szCs w:val="32"/>
        </w:rPr>
      </w:pPr>
      <w:r>
        <w:rPr>
          <w:rFonts w:hint="eastAsia"/>
          <w:sz w:val="28"/>
          <w:szCs w:val="32"/>
        </w:rPr>
        <w:t>（1）不具备签订劳动合同条件的（大专院校实习生）：实习补贴按每月</w:t>
      </w:r>
      <w:r>
        <w:rPr>
          <w:sz w:val="28"/>
          <w:szCs w:val="32"/>
        </w:rPr>
        <w:t>4</w:t>
      </w:r>
      <w:r>
        <w:rPr>
          <w:rFonts w:hint="eastAsia"/>
          <w:sz w:val="28"/>
          <w:szCs w:val="32"/>
        </w:rPr>
        <w:t>000-</w:t>
      </w:r>
      <w:r>
        <w:rPr>
          <w:sz w:val="28"/>
          <w:szCs w:val="32"/>
        </w:rPr>
        <w:t>5000</w:t>
      </w:r>
      <w:r>
        <w:rPr>
          <w:rFonts w:hint="eastAsia"/>
          <w:sz w:val="28"/>
          <w:szCs w:val="32"/>
        </w:rPr>
        <w:t>元计发（理论培训期间）。</w:t>
      </w:r>
    </w:p>
    <w:p>
      <w:pPr>
        <w:spacing w:line="580" w:lineRule="exact"/>
        <w:ind w:firstLine="560" w:firstLineChars="200"/>
        <w:rPr>
          <w:sz w:val="28"/>
          <w:szCs w:val="32"/>
        </w:rPr>
      </w:pPr>
      <w:r>
        <w:rPr>
          <w:rFonts w:hint="eastAsia"/>
          <w:sz w:val="28"/>
          <w:szCs w:val="32"/>
        </w:rPr>
        <w:t>（2）具备签订劳动合同条件的：劳动合同签订后，根据岗位能力计薪。对新招聘人员设置薪酬过渡期，过渡期一般为3个月，过渡期结束后经考核合格达到相应岗位能力要求的，执行相应岗位薪酬标准。员工岗位的薪酬按月计发，考核奖根据年度工作考核情况在年终发放，表现特别突出的给予额外嘉奖。</w:t>
      </w:r>
    </w:p>
    <w:p>
      <w:pPr>
        <w:spacing w:line="580" w:lineRule="exact"/>
        <w:ind w:firstLine="560" w:firstLineChars="200"/>
        <w:rPr>
          <w:sz w:val="28"/>
          <w:szCs w:val="32"/>
        </w:rPr>
      </w:pPr>
      <w:r>
        <w:rPr>
          <w:rFonts w:hint="eastAsia"/>
          <w:sz w:val="28"/>
          <w:szCs w:val="32"/>
        </w:rPr>
        <w:t>4、</w:t>
      </w:r>
      <w:r>
        <w:rPr>
          <w:sz w:val="28"/>
          <w:szCs w:val="32"/>
        </w:rPr>
        <w:t>除</w:t>
      </w:r>
      <w:r>
        <w:rPr>
          <w:rFonts w:hint="eastAsia"/>
          <w:sz w:val="28"/>
          <w:szCs w:val="32"/>
        </w:rPr>
        <w:t>薪酬</w:t>
      </w:r>
      <w:r>
        <w:rPr>
          <w:sz w:val="28"/>
          <w:szCs w:val="32"/>
        </w:rPr>
        <w:t>外</w:t>
      </w:r>
      <w:r>
        <w:rPr>
          <w:rFonts w:hint="eastAsia"/>
          <w:sz w:val="28"/>
          <w:szCs w:val="32"/>
        </w:rPr>
        <w:t>，公司免费</w:t>
      </w:r>
      <w:r>
        <w:rPr>
          <w:sz w:val="28"/>
          <w:szCs w:val="32"/>
        </w:rPr>
        <w:t>提供</w:t>
      </w:r>
      <w:r>
        <w:rPr>
          <w:rFonts w:hint="eastAsia"/>
          <w:sz w:val="28"/>
          <w:szCs w:val="32"/>
        </w:rPr>
        <w:t>住宿、工作日发放餐补、每月通讯补助</w:t>
      </w:r>
      <w:r>
        <w:rPr>
          <w:sz w:val="28"/>
          <w:szCs w:val="32"/>
        </w:rPr>
        <w:t>5</w:t>
      </w:r>
      <w:r>
        <w:rPr>
          <w:rFonts w:hint="eastAsia"/>
          <w:sz w:val="28"/>
          <w:szCs w:val="32"/>
        </w:rPr>
        <w:t>0-100元不等，根据国家有关规定，公司为每位员工缴纳“五险一金”，享受节假日福利（倒班人员除外）。</w:t>
      </w:r>
    </w:p>
    <w:p>
      <w:pPr>
        <w:spacing w:line="580" w:lineRule="exact"/>
        <w:ind w:firstLine="560" w:firstLineChars="200"/>
        <w:rPr>
          <w:sz w:val="28"/>
          <w:szCs w:val="32"/>
        </w:rPr>
      </w:pPr>
      <w:r>
        <w:rPr>
          <w:rFonts w:hint="eastAsia"/>
          <w:sz w:val="28"/>
          <w:szCs w:val="32"/>
        </w:rPr>
        <w:t>5、公司建设期实行8小时工作制，长日班岗位单双休轮休（每周工作5-6天），加班采取以调休方式换休，如无法安排调休则支付相应的加班工资。装置操作员需要倒班，倒班以后实行四班两倒方式运行；仪表、设备、电气操作员长白班，晚上偶尔有值班（生产正常夜间可休息）。</w:t>
      </w:r>
    </w:p>
    <w:p>
      <w:pPr>
        <w:spacing w:line="580" w:lineRule="exact"/>
        <w:ind w:firstLine="560" w:firstLineChars="200"/>
        <w:rPr>
          <w:sz w:val="28"/>
          <w:szCs w:val="32"/>
        </w:rPr>
      </w:pPr>
      <w:r>
        <w:rPr>
          <w:rFonts w:hint="eastAsia"/>
          <w:sz w:val="28"/>
          <w:szCs w:val="32"/>
        </w:rPr>
        <w:t>6、 批量校招学生在入职时，享受到公司报到的路费报销（单趟）；</w:t>
      </w:r>
    </w:p>
    <w:p>
      <w:pPr>
        <w:spacing w:line="580" w:lineRule="exact"/>
        <w:ind w:firstLine="560" w:firstLineChars="200"/>
        <w:rPr>
          <w:sz w:val="28"/>
          <w:szCs w:val="32"/>
        </w:rPr>
      </w:pPr>
      <w:r>
        <w:rPr>
          <w:sz w:val="28"/>
          <w:szCs w:val="32"/>
        </w:rPr>
        <w:t>7</w:t>
      </w:r>
      <w:r>
        <w:rPr>
          <w:rFonts w:hint="eastAsia"/>
          <w:sz w:val="28"/>
          <w:szCs w:val="32"/>
        </w:rPr>
        <w:t>、员工入职后，公司组织专业技术和技能操作培训，并安排师徒结对教学培养，签订培训协议，使其尽快掌握专业技能独立顶岗。</w:t>
      </w:r>
    </w:p>
    <w:p>
      <w:pPr>
        <w:spacing w:line="580" w:lineRule="exact"/>
        <w:ind w:firstLine="560" w:firstLineChars="200"/>
        <w:rPr>
          <w:sz w:val="28"/>
          <w:szCs w:val="32"/>
        </w:rPr>
      </w:pPr>
      <w:r>
        <w:rPr>
          <w:sz w:val="28"/>
          <w:szCs w:val="32"/>
        </w:rPr>
        <w:t>8</w:t>
      </w:r>
      <w:r>
        <w:rPr>
          <w:rFonts w:hint="eastAsia"/>
          <w:sz w:val="28"/>
          <w:szCs w:val="32"/>
        </w:rPr>
        <w:t>、员工可向公司购买低于市场价的员工内部福利房，装修款免息分若干年支付。</w:t>
      </w:r>
    </w:p>
    <w:p>
      <w:pPr>
        <w:spacing w:line="580" w:lineRule="exact"/>
        <w:ind w:firstLine="560" w:firstLineChars="200"/>
        <w:rPr>
          <w:sz w:val="28"/>
          <w:szCs w:val="32"/>
        </w:rPr>
      </w:pPr>
      <w:r>
        <w:rPr>
          <w:sz w:val="28"/>
          <w:szCs w:val="32"/>
        </w:rPr>
        <w:t>9</w:t>
      </w:r>
      <w:r>
        <w:rPr>
          <w:rFonts w:hint="eastAsia"/>
          <w:sz w:val="28"/>
          <w:szCs w:val="32"/>
        </w:rPr>
        <w:t>、在合同期内，定期提升薪资标准并建立考核晋升机制，为员工长远发展做好规划。大专</w:t>
      </w:r>
      <w:r>
        <w:rPr>
          <w:sz w:val="28"/>
          <w:szCs w:val="32"/>
        </w:rPr>
        <w:t>毕业生</w:t>
      </w:r>
      <w:r>
        <w:rPr>
          <w:rFonts w:hint="eastAsia"/>
          <w:sz w:val="28"/>
          <w:szCs w:val="32"/>
        </w:rPr>
        <w:t>起薪为税后</w:t>
      </w:r>
      <w:r>
        <w:rPr>
          <w:sz w:val="28"/>
          <w:szCs w:val="32"/>
        </w:rPr>
        <w:t>7.5</w:t>
      </w:r>
      <w:r>
        <w:rPr>
          <w:rFonts w:hint="eastAsia"/>
          <w:sz w:val="28"/>
          <w:szCs w:val="32"/>
        </w:rPr>
        <w:t>万元/年，</w:t>
      </w:r>
      <w:r>
        <w:rPr>
          <w:rFonts w:hint="eastAsia"/>
          <w:sz w:val="24"/>
        </w:rPr>
        <w:t>本科税后9</w:t>
      </w:r>
      <w:r>
        <w:rPr>
          <w:sz w:val="24"/>
        </w:rPr>
        <w:t>-12</w:t>
      </w:r>
      <w:r>
        <w:rPr>
          <w:rFonts w:hint="eastAsia"/>
          <w:sz w:val="24"/>
        </w:rPr>
        <w:t>万/年；</w:t>
      </w:r>
      <w:r>
        <w:rPr>
          <w:rFonts w:hint="eastAsia"/>
          <w:sz w:val="28"/>
          <w:szCs w:val="32"/>
        </w:rPr>
        <w:t>以后每年定期考核，考核良好上升一级，考核优秀的占总人数1</w:t>
      </w:r>
      <w:r>
        <w:rPr>
          <w:sz w:val="28"/>
          <w:szCs w:val="32"/>
        </w:rPr>
        <w:t>5</w:t>
      </w:r>
      <w:r>
        <w:rPr>
          <w:rFonts w:hint="eastAsia"/>
          <w:sz w:val="28"/>
          <w:szCs w:val="32"/>
        </w:rPr>
        <w:t>-</w:t>
      </w:r>
      <w:r>
        <w:rPr>
          <w:sz w:val="28"/>
          <w:szCs w:val="32"/>
        </w:rPr>
        <w:t>20</w:t>
      </w:r>
      <w:r>
        <w:rPr>
          <w:rFonts w:hint="eastAsia"/>
          <w:sz w:val="28"/>
          <w:szCs w:val="32"/>
        </w:rPr>
        <w:t>%人员上升两级，定岗之后按照熟练工工种岗位定薪。定岗后副修、副操起薪</w:t>
      </w:r>
      <w:r>
        <w:rPr>
          <w:sz w:val="28"/>
          <w:szCs w:val="32"/>
        </w:rPr>
        <w:t>10.5</w:t>
      </w:r>
      <w:r>
        <w:rPr>
          <w:rFonts w:hint="eastAsia"/>
          <w:sz w:val="28"/>
          <w:szCs w:val="32"/>
        </w:rPr>
        <w:t>万元，主修、主操起薪</w:t>
      </w:r>
      <w:r>
        <w:rPr>
          <w:sz w:val="28"/>
          <w:szCs w:val="32"/>
        </w:rPr>
        <w:t>16</w:t>
      </w:r>
      <w:r>
        <w:rPr>
          <w:rFonts w:hint="eastAsia"/>
          <w:sz w:val="28"/>
          <w:szCs w:val="32"/>
        </w:rPr>
        <w:t>.</w:t>
      </w:r>
      <w:r>
        <w:rPr>
          <w:sz w:val="28"/>
          <w:szCs w:val="32"/>
        </w:rPr>
        <w:t>5</w:t>
      </w:r>
      <w:r>
        <w:rPr>
          <w:rFonts w:hint="eastAsia"/>
          <w:sz w:val="28"/>
          <w:szCs w:val="32"/>
        </w:rPr>
        <w:t>万元。</w:t>
      </w:r>
    </w:p>
    <w:p>
      <w:pPr>
        <w:spacing w:line="580" w:lineRule="exact"/>
        <w:ind w:firstLine="560" w:firstLineChars="200"/>
        <w:rPr>
          <w:rFonts w:hint="eastAsia"/>
          <w:sz w:val="28"/>
          <w:szCs w:val="32"/>
        </w:rPr>
      </w:pPr>
      <w:r>
        <w:rPr>
          <w:rFonts w:hint="eastAsia"/>
          <w:sz w:val="28"/>
          <w:szCs w:val="32"/>
        </w:rPr>
        <w:t>1</w:t>
      </w:r>
      <w:r>
        <w:rPr>
          <w:sz w:val="28"/>
          <w:szCs w:val="32"/>
        </w:rPr>
        <w:t>0</w:t>
      </w:r>
      <w:r>
        <w:rPr>
          <w:rFonts w:hint="eastAsia"/>
          <w:sz w:val="28"/>
          <w:szCs w:val="32"/>
        </w:rPr>
        <w:t>、入职运行岗位后，结合员工的个人意愿及公司需求，表现优异的员工可通过内聘渠道晋升到不同的生产管理、职能管理、技术研发等岗位。</w:t>
      </w:r>
    </w:p>
    <w:p>
      <w:pPr>
        <w:ind w:firstLine="562" w:firstLineChars="200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20</w:t>
      </w:r>
      <w:r>
        <w:rPr>
          <w:b/>
          <w:sz w:val="28"/>
          <w:szCs w:val="28"/>
        </w:rPr>
        <w:t>23</w:t>
      </w:r>
      <w:r>
        <w:rPr>
          <w:rFonts w:hint="eastAsia"/>
          <w:b/>
          <w:sz w:val="28"/>
          <w:szCs w:val="28"/>
        </w:rPr>
        <w:t>年招聘需求表：</w:t>
      </w:r>
    </w:p>
    <w:tbl>
      <w:tblPr>
        <w:tblStyle w:val="6"/>
        <w:tblW w:w="87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3"/>
        <w:gridCol w:w="999"/>
        <w:gridCol w:w="3686"/>
        <w:gridCol w:w="1134"/>
        <w:gridCol w:w="9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73" w:type="dxa"/>
            <w:vAlign w:val="center"/>
          </w:tcPr>
          <w:p>
            <w:pPr>
              <w:spacing w:line="400" w:lineRule="exact"/>
              <w:jc w:val="center"/>
              <w:rPr>
                <w:rFonts w:ascii="黑体" w:hAnsi="黑体" w:eastAsia="黑体"/>
                <w:b/>
                <w:sz w:val="28"/>
                <w:szCs w:val="28"/>
              </w:rPr>
            </w:pPr>
            <w:r>
              <w:rPr>
                <w:rFonts w:hint="eastAsia" w:ascii="黑体" w:hAnsi="黑体" w:eastAsia="黑体"/>
                <w:b/>
                <w:sz w:val="28"/>
                <w:szCs w:val="28"/>
              </w:rPr>
              <w:t>招聘岗位</w:t>
            </w:r>
          </w:p>
        </w:tc>
        <w:tc>
          <w:tcPr>
            <w:tcW w:w="999" w:type="dxa"/>
            <w:vAlign w:val="center"/>
          </w:tcPr>
          <w:p>
            <w:pPr>
              <w:spacing w:line="400" w:lineRule="exact"/>
              <w:jc w:val="center"/>
              <w:rPr>
                <w:rFonts w:ascii="黑体" w:hAnsi="黑体" w:eastAsia="黑体"/>
                <w:b/>
                <w:sz w:val="28"/>
                <w:szCs w:val="28"/>
              </w:rPr>
            </w:pPr>
            <w:r>
              <w:rPr>
                <w:rFonts w:hint="eastAsia" w:ascii="黑体" w:hAnsi="黑体" w:eastAsia="黑体"/>
                <w:b/>
                <w:sz w:val="28"/>
                <w:szCs w:val="28"/>
              </w:rPr>
              <w:t>招聘人数</w:t>
            </w:r>
          </w:p>
        </w:tc>
        <w:tc>
          <w:tcPr>
            <w:tcW w:w="3686" w:type="dxa"/>
            <w:vAlign w:val="center"/>
          </w:tcPr>
          <w:p>
            <w:pPr>
              <w:spacing w:line="400" w:lineRule="exact"/>
              <w:jc w:val="center"/>
              <w:rPr>
                <w:rFonts w:ascii="黑体" w:hAnsi="黑体" w:eastAsia="黑体"/>
                <w:b/>
                <w:sz w:val="28"/>
                <w:szCs w:val="28"/>
              </w:rPr>
            </w:pPr>
            <w:r>
              <w:rPr>
                <w:rFonts w:hint="eastAsia" w:ascii="黑体" w:hAnsi="黑体" w:eastAsia="黑体"/>
                <w:b/>
                <w:sz w:val="28"/>
                <w:szCs w:val="28"/>
              </w:rPr>
              <w:t>专业要求</w:t>
            </w:r>
          </w:p>
        </w:tc>
        <w:tc>
          <w:tcPr>
            <w:tcW w:w="1134" w:type="dxa"/>
            <w:vAlign w:val="center"/>
          </w:tcPr>
          <w:p>
            <w:pPr>
              <w:spacing w:line="400" w:lineRule="exact"/>
              <w:jc w:val="center"/>
              <w:rPr>
                <w:rFonts w:ascii="黑体" w:hAnsi="黑体" w:eastAsia="黑体"/>
                <w:b/>
                <w:sz w:val="28"/>
                <w:szCs w:val="28"/>
              </w:rPr>
            </w:pPr>
            <w:r>
              <w:rPr>
                <w:rFonts w:hint="eastAsia" w:ascii="黑体" w:hAnsi="黑体" w:eastAsia="黑体"/>
                <w:b/>
                <w:sz w:val="28"/>
                <w:szCs w:val="28"/>
              </w:rPr>
              <w:t>班制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黑体" w:hAnsi="黑体" w:eastAsia="黑体"/>
                <w:b/>
                <w:sz w:val="28"/>
                <w:szCs w:val="28"/>
              </w:rPr>
            </w:pPr>
            <w:r>
              <w:rPr>
                <w:rFonts w:hint="eastAsia" w:ascii="黑体" w:hAnsi="黑体" w:eastAsia="黑体"/>
                <w:b/>
                <w:sz w:val="28"/>
                <w:szCs w:val="28"/>
              </w:rPr>
              <w:t>学历要求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73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工艺运行</w:t>
            </w:r>
          </w:p>
        </w:tc>
        <w:tc>
          <w:tcPr>
            <w:tcW w:w="999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3686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热能动力、</w:t>
            </w:r>
            <w:r>
              <w:rPr>
                <w:rFonts w:hint="eastAsia"/>
                <w:sz w:val="24"/>
                <w:szCs w:val="24"/>
                <w:lang w:eastAsia="zh-CN"/>
              </w:rPr>
              <w:t>集控、新</w:t>
            </w:r>
            <w:r>
              <w:rPr>
                <w:rFonts w:hint="eastAsia"/>
                <w:sz w:val="24"/>
                <w:szCs w:val="24"/>
              </w:rPr>
              <w:t>能源</w:t>
            </w:r>
            <w:r>
              <w:rPr>
                <w:rFonts w:hint="eastAsia"/>
                <w:sz w:val="24"/>
                <w:szCs w:val="24"/>
                <w:lang w:eastAsia="zh-CN"/>
              </w:rPr>
              <w:t>、热自、</w:t>
            </w:r>
            <w:bookmarkStart w:id="0" w:name="_GoBack"/>
            <w:bookmarkEnd w:id="0"/>
            <w:r>
              <w:rPr>
                <w:rFonts w:hint="eastAsia"/>
                <w:sz w:val="24"/>
                <w:szCs w:val="24"/>
                <w:lang w:eastAsia="zh-CN"/>
              </w:rPr>
              <w:t>电力系统等电力相关专业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四班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两倒</w:t>
            </w:r>
          </w:p>
        </w:tc>
        <w:tc>
          <w:tcPr>
            <w:tcW w:w="992" w:type="dxa"/>
            <w:vAlign w:val="center"/>
          </w:tcPr>
          <w:p>
            <w:pPr>
              <w:rPr>
                <w:rFonts w:ascii="黑体" w:hAnsi="黑体" w:eastAsia="黑体"/>
                <w:b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大专及以上</w:t>
            </w:r>
          </w:p>
        </w:tc>
      </w:tr>
    </w:tbl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公司地址：浙江省舟山市岱山县鱼山岛</w:t>
      </w:r>
    </w:p>
    <w:sectPr>
      <w:pgSz w:w="11906" w:h="16838"/>
      <w:pgMar w:top="1134" w:right="1797" w:bottom="113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6489"/>
    <w:rsid w:val="00036489"/>
    <w:rsid w:val="00037DA6"/>
    <w:rsid w:val="00046E8B"/>
    <w:rsid w:val="000675C6"/>
    <w:rsid w:val="000A3A0C"/>
    <w:rsid w:val="000B2DF6"/>
    <w:rsid w:val="000D4CFC"/>
    <w:rsid w:val="00114101"/>
    <w:rsid w:val="001201E9"/>
    <w:rsid w:val="00140FA8"/>
    <w:rsid w:val="001643AF"/>
    <w:rsid w:val="00171504"/>
    <w:rsid w:val="00173B60"/>
    <w:rsid w:val="001A310F"/>
    <w:rsid w:val="001E4FF6"/>
    <w:rsid w:val="001F2601"/>
    <w:rsid w:val="001F2AB1"/>
    <w:rsid w:val="001F6711"/>
    <w:rsid w:val="00200568"/>
    <w:rsid w:val="0022600E"/>
    <w:rsid w:val="00235D35"/>
    <w:rsid w:val="0024070B"/>
    <w:rsid w:val="002A3AFB"/>
    <w:rsid w:val="002D0718"/>
    <w:rsid w:val="0030365F"/>
    <w:rsid w:val="003261CC"/>
    <w:rsid w:val="00343B89"/>
    <w:rsid w:val="003565C1"/>
    <w:rsid w:val="00365A73"/>
    <w:rsid w:val="00380DB2"/>
    <w:rsid w:val="00380F9A"/>
    <w:rsid w:val="0039335B"/>
    <w:rsid w:val="003C3ED8"/>
    <w:rsid w:val="003D2458"/>
    <w:rsid w:val="003E19CF"/>
    <w:rsid w:val="004042FE"/>
    <w:rsid w:val="00410E99"/>
    <w:rsid w:val="00424A4B"/>
    <w:rsid w:val="00434765"/>
    <w:rsid w:val="00450AFC"/>
    <w:rsid w:val="004564D8"/>
    <w:rsid w:val="00467765"/>
    <w:rsid w:val="00470AEC"/>
    <w:rsid w:val="004A6608"/>
    <w:rsid w:val="004D3062"/>
    <w:rsid w:val="004E32C0"/>
    <w:rsid w:val="004F3D86"/>
    <w:rsid w:val="00506305"/>
    <w:rsid w:val="00516763"/>
    <w:rsid w:val="00517435"/>
    <w:rsid w:val="00533E2D"/>
    <w:rsid w:val="005474D2"/>
    <w:rsid w:val="00572091"/>
    <w:rsid w:val="00572328"/>
    <w:rsid w:val="005767C1"/>
    <w:rsid w:val="005A36EB"/>
    <w:rsid w:val="005A629C"/>
    <w:rsid w:val="005B0044"/>
    <w:rsid w:val="005B0938"/>
    <w:rsid w:val="005C45EB"/>
    <w:rsid w:val="005E0AC6"/>
    <w:rsid w:val="00630F33"/>
    <w:rsid w:val="0067606D"/>
    <w:rsid w:val="006779C6"/>
    <w:rsid w:val="00692340"/>
    <w:rsid w:val="006A05D1"/>
    <w:rsid w:val="006A2B26"/>
    <w:rsid w:val="006B3993"/>
    <w:rsid w:val="006B4A38"/>
    <w:rsid w:val="006E4B8E"/>
    <w:rsid w:val="006F5B5F"/>
    <w:rsid w:val="00723302"/>
    <w:rsid w:val="00750081"/>
    <w:rsid w:val="007548EE"/>
    <w:rsid w:val="007961D0"/>
    <w:rsid w:val="00796BEE"/>
    <w:rsid w:val="007C2C58"/>
    <w:rsid w:val="007F6AF8"/>
    <w:rsid w:val="0081105A"/>
    <w:rsid w:val="008160F3"/>
    <w:rsid w:val="00824D6B"/>
    <w:rsid w:val="0083583B"/>
    <w:rsid w:val="0083718E"/>
    <w:rsid w:val="0084495D"/>
    <w:rsid w:val="00882530"/>
    <w:rsid w:val="008A5DC0"/>
    <w:rsid w:val="008E2171"/>
    <w:rsid w:val="008F28C9"/>
    <w:rsid w:val="00912C5C"/>
    <w:rsid w:val="009209F7"/>
    <w:rsid w:val="00921CFF"/>
    <w:rsid w:val="0093341E"/>
    <w:rsid w:val="00943A56"/>
    <w:rsid w:val="00944E4F"/>
    <w:rsid w:val="009477D2"/>
    <w:rsid w:val="0098238E"/>
    <w:rsid w:val="0099353C"/>
    <w:rsid w:val="009D22F1"/>
    <w:rsid w:val="009E485B"/>
    <w:rsid w:val="009F5067"/>
    <w:rsid w:val="009F52C4"/>
    <w:rsid w:val="00A12250"/>
    <w:rsid w:val="00A42745"/>
    <w:rsid w:val="00A65594"/>
    <w:rsid w:val="00AA5C06"/>
    <w:rsid w:val="00AA75BF"/>
    <w:rsid w:val="00B15BF6"/>
    <w:rsid w:val="00B171B3"/>
    <w:rsid w:val="00B25444"/>
    <w:rsid w:val="00B422C1"/>
    <w:rsid w:val="00B44A80"/>
    <w:rsid w:val="00B7063A"/>
    <w:rsid w:val="00B83C19"/>
    <w:rsid w:val="00BA5C58"/>
    <w:rsid w:val="00BD4FE2"/>
    <w:rsid w:val="00BD6CB2"/>
    <w:rsid w:val="00BD7474"/>
    <w:rsid w:val="00C0347C"/>
    <w:rsid w:val="00C21C06"/>
    <w:rsid w:val="00C57A54"/>
    <w:rsid w:val="00C603C9"/>
    <w:rsid w:val="00CE0273"/>
    <w:rsid w:val="00D0332B"/>
    <w:rsid w:val="00D25501"/>
    <w:rsid w:val="00D32B81"/>
    <w:rsid w:val="00D44546"/>
    <w:rsid w:val="00D554C5"/>
    <w:rsid w:val="00D5597C"/>
    <w:rsid w:val="00D63570"/>
    <w:rsid w:val="00D8106E"/>
    <w:rsid w:val="00DA227E"/>
    <w:rsid w:val="00DC00DD"/>
    <w:rsid w:val="00DF05B7"/>
    <w:rsid w:val="00E57736"/>
    <w:rsid w:val="00E65CB0"/>
    <w:rsid w:val="00E72D9A"/>
    <w:rsid w:val="00E75CFE"/>
    <w:rsid w:val="00E9367A"/>
    <w:rsid w:val="00EB3011"/>
    <w:rsid w:val="00EC3043"/>
    <w:rsid w:val="00F12F09"/>
    <w:rsid w:val="00F21582"/>
    <w:rsid w:val="00F416E3"/>
    <w:rsid w:val="00F46423"/>
    <w:rsid w:val="00F5213A"/>
    <w:rsid w:val="00F96453"/>
    <w:rsid w:val="00FA0227"/>
    <w:rsid w:val="00FC0A11"/>
    <w:rsid w:val="00FE156F"/>
    <w:rsid w:val="00FE5504"/>
    <w:rsid w:val="00FE6B38"/>
    <w:rsid w:val="00FF52D2"/>
    <w:rsid w:val="0527222D"/>
    <w:rsid w:val="18B22326"/>
    <w:rsid w:val="19E25963"/>
    <w:rsid w:val="1C3A16CD"/>
    <w:rsid w:val="37187376"/>
    <w:rsid w:val="379F33B2"/>
    <w:rsid w:val="3D0A14E1"/>
    <w:rsid w:val="49467021"/>
    <w:rsid w:val="700346A6"/>
    <w:rsid w:val="716769C5"/>
    <w:rsid w:val="74405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Arial" w:hAnsi="Arial" w:eastAsia="Arial" w:cs="Arial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11">
    <w:name w:val="页脚 字符"/>
    <w:basedOn w:val="7"/>
    <w:link w:val="3"/>
    <w:uiPriority w:val="99"/>
    <w:rPr>
      <w:sz w:val="18"/>
      <w:szCs w:val="18"/>
    </w:rPr>
  </w:style>
  <w:style w:type="character" w:customStyle="1" w:styleId="12">
    <w:name w:val="批注框文本 字符"/>
    <w:basedOn w:val="7"/>
    <w:link w:val="2"/>
    <w:semiHidden/>
    <w:uiPriority w:val="99"/>
    <w:rPr>
      <w:sz w:val="18"/>
      <w:szCs w:val="18"/>
    </w:rPr>
  </w:style>
  <w:style w:type="character" w:customStyle="1" w:styleId="13">
    <w:name w:val="未处理的提及1"/>
    <w:basedOn w:val="7"/>
    <w:semiHidden/>
    <w:unhideWhenUsed/>
    <w:uiPriority w:val="99"/>
    <w:rPr>
      <w:color w:val="605E5C"/>
      <w:shd w:val="clear" w:color="auto" w:fill="E1DFDD"/>
    </w:rPr>
  </w:style>
  <w:style w:type="paragraph" w:customStyle="1" w:styleId="14">
    <w:name w:val="Table Paragraph"/>
    <w:basedOn w:val="1"/>
    <w:qFormat/>
    <w:uiPriority w:val="1"/>
    <w:pPr>
      <w:autoSpaceDE w:val="0"/>
      <w:autoSpaceDN w:val="0"/>
      <w:spacing w:before="153"/>
      <w:jc w:val="left"/>
    </w:pPr>
    <w:rPr>
      <w:rFonts w:ascii="黑体" w:hAnsi="黑体" w:eastAsia="黑体" w:cs="黑体"/>
      <w:kern w:val="0"/>
      <w:sz w:val="22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216</Words>
  <Characters>1233</Characters>
  <Lines>10</Lines>
  <Paragraphs>2</Paragraphs>
  <TotalTime>2</TotalTime>
  <ScaleCrop>false</ScaleCrop>
  <LinksUpToDate>false</LinksUpToDate>
  <CharactersWithSpaces>1447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2021-06-24T22:20:00Z</dcterms:created>
  <dc:creator>LHL</dc:creator>
  <cp:lastModifiedBy>Administrator</cp:lastModifiedBy>
  <cp:lastPrinted>2021-06-24T09:01:00Z</cp:lastPrinted>
  <dcterms:modified xsi:type="dcterms:W3CDTF">2023-10-23T03:48:02Z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