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4458970</wp:posOffset>
                </wp:positionH>
                <wp:positionV relativeFrom="paragraph">
                  <wp:posOffset>-499745</wp:posOffset>
                </wp:positionV>
                <wp:extent cx="1778000" cy="480060"/>
                <wp:effectExtent l="0" t="0" r="13335" b="1587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906" cy="480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证券代码：603235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.1pt;margin-top:-39.35pt;height:37.8pt;width:140pt;z-index:251660288;mso-width-relative:page;mso-height-relative:page;" fillcolor="#FFFFFF [3201]" filled="t" stroked="t" coordsize="21600,21600" o:gfxdata="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O3L3D2AAAAAoB&#10;AAAPAAAAAAAAAAEAIAAAACIAAABkcnMvZG93bnJldi54bWxQSwECFAAUAAAACACHTuJAycXU4lQC&#10;AAC4BAAADgAAAAAAAAABACAAAAAnAQAAZHJzL2Uyb0RvYy54bWxQSwUGAAAAAAYABgBZAQAA7QUA&#10;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FF000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4"/>
                        </w:rPr>
                        <w:t>证券代码：603235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36"/>
          <w:szCs w:val="36"/>
        </w:rPr>
        <w:t>江西天新药业股份有限公司招聘简章</w:t>
      </w:r>
    </w:p>
    <w:p/>
    <w:p>
      <w:pPr>
        <w:ind w:firstLine="1890" w:firstLineChars="90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25400</wp:posOffset>
            </wp:positionV>
            <wp:extent cx="5274310" cy="3050540"/>
            <wp:effectExtent l="0" t="0" r="2540" b="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44" cy="3055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1890" w:firstLineChars="900"/>
      </w:pPr>
    </w:p>
    <w:p>
      <w:pPr>
        <w:ind w:firstLine="1890" w:firstLineChars="900"/>
      </w:pPr>
    </w:p>
    <w:p>
      <w:pPr>
        <w:ind w:firstLine="1890" w:firstLineChars="900"/>
      </w:pPr>
    </w:p>
    <w:p>
      <w:pPr>
        <w:ind w:firstLine="1890" w:firstLineChars="900"/>
      </w:pPr>
    </w:p>
    <w:p>
      <w:pPr>
        <w:ind w:firstLine="1890" w:firstLineChars="900"/>
      </w:pPr>
    </w:p>
    <w:p>
      <w:pPr>
        <w:ind w:firstLine="1890" w:firstLineChars="900"/>
      </w:pPr>
    </w:p>
    <w:p>
      <w:pPr>
        <w:ind w:firstLine="1890" w:firstLineChars="900"/>
      </w:pPr>
    </w:p>
    <w:p>
      <w:pPr>
        <w:ind w:firstLine="1890" w:firstLineChars="900"/>
      </w:pPr>
    </w:p>
    <w:p>
      <w:pPr>
        <w:ind w:firstLine="1890" w:firstLineChars="900"/>
      </w:pPr>
    </w:p>
    <w:p>
      <w:pPr>
        <w:ind w:firstLine="1890" w:firstLineChars="900"/>
      </w:pPr>
    </w:p>
    <w:p>
      <w:pPr>
        <w:ind w:firstLine="1890" w:firstLineChars="900"/>
      </w:pPr>
    </w:p>
    <w:p>
      <w:pPr>
        <w:ind w:firstLine="1890" w:firstLineChars="900"/>
      </w:pPr>
    </w:p>
    <w:p>
      <w:pPr>
        <w:ind w:firstLine="1890" w:firstLineChars="900"/>
      </w:pPr>
    </w:p>
    <w:p>
      <w:pPr>
        <w:rPr>
          <w:rFonts w:ascii="宋体" w:hAnsi="宋体" w:eastAsia="宋体" w:cs="宋体"/>
          <w:b/>
          <w:bCs/>
          <w:sz w:val="28"/>
          <w:szCs w:val="28"/>
        </w:rPr>
      </w:pPr>
    </w:p>
    <w:p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20" w:firstLineChars="200"/>
        <w:textAlignment w:val="auto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>江西天新药业股份有限公司成立于2004年9月，是一家致力于单体维生素研发、生产与销售的高新技术企业，于2022年7月12日在上交所主板成功首发上市。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20" w:firstLineChars="200"/>
        <w:textAlignment w:val="auto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>公司产品有维生素B6、维生素B1、叶酸、维生素D3、生物素和抗坏血酸棕榈酸醋等，主要用于原料药、食品添加剂、饲料添加剂等领域，不仅畅销国内，而且远销世界100多个国家和地区，具有良好的美誉度。其中，维生素B6、维生素B1在全球市场上占有主导地位。</w:t>
      </w:r>
    </w:p>
    <w:p>
      <w:pPr>
        <w:ind w:firstLine="520" w:firstLineChars="200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>公司以“做强企业、成就员工、服务社会、健康人类”为宗旨，如今天新已成长为全球客户值得信赖的供应商和合作伙伴，具有良好的美誉度和品牌影响力。已形成集江西生产基地、上海研发中心，以及上海销售中心为一体的战略发展格局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二、招聘需求</w:t>
      </w:r>
      <w:r>
        <w:rPr>
          <w:b/>
          <w:bCs/>
          <w:sz w:val="28"/>
          <w:szCs w:val="28"/>
        </w:rPr>
        <w:t xml:space="preserve"> 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b/>
          <w:bCs/>
          <w:sz w:val="24"/>
        </w:rPr>
        <w:t>招聘岗位与专业</w:t>
      </w:r>
    </w:p>
    <w:tbl>
      <w:tblPr>
        <w:tblStyle w:val="6"/>
        <w:tblpPr w:leftFromText="180" w:rightFromText="180" w:vertAnchor="text" w:horzAnchor="page" w:tblpX="1627" w:tblpY="82"/>
        <w:tblOverlap w:val="never"/>
        <w:tblW w:w="9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990"/>
        <w:gridCol w:w="1465"/>
        <w:gridCol w:w="1215"/>
        <w:gridCol w:w="3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20" w:type="dxa"/>
            <w:shd w:val="clear" w:color="auto" w:fill="8EAADB" w:themeFill="accent5" w:themeFillTint="99"/>
          </w:tcPr>
          <w:p>
            <w:pPr>
              <w:tabs>
                <w:tab w:val="left" w:pos="5666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系统</w:t>
            </w:r>
          </w:p>
        </w:tc>
        <w:tc>
          <w:tcPr>
            <w:tcW w:w="1990" w:type="dxa"/>
            <w:shd w:val="clear" w:color="auto" w:fill="8EAADB" w:themeFill="accent5" w:themeFillTint="99"/>
          </w:tcPr>
          <w:p>
            <w:pPr>
              <w:tabs>
                <w:tab w:val="left" w:pos="5666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岗位</w:t>
            </w:r>
          </w:p>
        </w:tc>
        <w:tc>
          <w:tcPr>
            <w:tcW w:w="1465" w:type="dxa"/>
            <w:shd w:val="clear" w:color="auto" w:fill="8EAADB" w:themeFill="accent5" w:themeFillTint="99"/>
          </w:tcPr>
          <w:p>
            <w:pPr>
              <w:tabs>
                <w:tab w:val="left" w:pos="5666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学历</w:t>
            </w:r>
          </w:p>
        </w:tc>
        <w:tc>
          <w:tcPr>
            <w:tcW w:w="1215" w:type="dxa"/>
            <w:shd w:val="clear" w:color="auto" w:fill="8EAADB" w:themeFill="accent5" w:themeFillTint="99"/>
          </w:tcPr>
          <w:p>
            <w:pPr>
              <w:tabs>
                <w:tab w:val="left" w:pos="5666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人数</w:t>
            </w:r>
          </w:p>
        </w:tc>
        <w:tc>
          <w:tcPr>
            <w:tcW w:w="3213" w:type="dxa"/>
            <w:shd w:val="clear" w:color="auto" w:fill="8EAADB" w:themeFill="accent5" w:themeFillTint="99"/>
          </w:tcPr>
          <w:p>
            <w:pPr>
              <w:tabs>
                <w:tab w:val="left" w:pos="5666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专业要求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20" w:type="dxa"/>
            <w:vMerge w:val="restart"/>
          </w:tcPr>
          <w:p>
            <w:pPr>
              <w:tabs>
                <w:tab w:val="left" w:pos="5666"/>
              </w:tabs>
              <w:jc w:val="center"/>
              <w:rPr>
                <w:b/>
                <w:bCs/>
                <w:sz w:val="24"/>
              </w:rPr>
            </w:pPr>
          </w:p>
          <w:p>
            <w:pPr>
              <w:tabs>
                <w:tab w:val="left" w:pos="5666"/>
              </w:tabs>
              <w:jc w:val="center"/>
              <w:rPr>
                <w:b/>
                <w:bCs/>
                <w:sz w:val="24"/>
              </w:rPr>
            </w:pPr>
          </w:p>
          <w:p>
            <w:pPr>
              <w:tabs>
                <w:tab w:val="left" w:pos="5666"/>
              </w:tabs>
              <w:jc w:val="center"/>
              <w:rPr>
                <w:b/>
                <w:bCs/>
                <w:sz w:val="24"/>
              </w:rPr>
            </w:pPr>
          </w:p>
          <w:p>
            <w:pPr>
              <w:tabs>
                <w:tab w:val="left" w:pos="5666"/>
              </w:tabs>
              <w:jc w:val="center"/>
              <w:rPr>
                <w:b/>
                <w:bCs/>
                <w:sz w:val="24"/>
              </w:rPr>
            </w:pPr>
          </w:p>
          <w:p>
            <w:pPr>
              <w:tabs>
                <w:tab w:val="left" w:pos="5666"/>
              </w:tabs>
              <w:jc w:val="center"/>
              <w:rPr>
                <w:rFonts w:hint="default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热电系统</w:t>
            </w:r>
          </w:p>
        </w:tc>
        <w:tc>
          <w:tcPr>
            <w:tcW w:w="1990" w:type="dxa"/>
            <w:vAlign w:val="center"/>
          </w:tcPr>
          <w:p>
            <w:pPr>
              <w:tabs>
                <w:tab w:val="left" w:pos="5666"/>
              </w:tabs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电气运行</w:t>
            </w:r>
          </w:p>
        </w:tc>
        <w:tc>
          <w:tcPr>
            <w:tcW w:w="1465" w:type="dxa"/>
            <w:vAlign w:val="center"/>
          </w:tcPr>
          <w:p>
            <w:pPr>
              <w:tabs>
                <w:tab w:val="left" w:pos="5666"/>
              </w:tabs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专科</w:t>
            </w:r>
          </w:p>
        </w:tc>
        <w:tc>
          <w:tcPr>
            <w:tcW w:w="1215" w:type="dxa"/>
            <w:vAlign w:val="center"/>
          </w:tcPr>
          <w:p>
            <w:pPr>
              <w:tabs>
                <w:tab w:val="left" w:pos="5666"/>
              </w:tabs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15</w:t>
            </w:r>
          </w:p>
        </w:tc>
        <w:tc>
          <w:tcPr>
            <w:tcW w:w="3213" w:type="dxa"/>
            <w:vAlign w:val="center"/>
          </w:tcPr>
          <w:p>
            <w:pPr>
              <w:tabs>
                <w:tab w:val="left" w:pos="5666"/>
              </w:tabs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热能动力、发电运行、电力运行及自动化、发电厂及电力系统、电气自动化、热工自动化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20" w:type="dxa"/>
            <w:vMerge w:val="continue"/>
          </w:tcPr>
          <w:p>
            <w:pPr>
              <w:tabs>
                <w:tab w:val="left" w:pos="5666"/>
              </w:tabs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tabs>
                <w:tab w:val="left" w:pos="5666"/>
              </w:tabs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锅炉运行</w:t>
            </w:r>
          </w:p>
        </w:tc>
        <w:tc>
          <w:tcPr>
            <w:tcW w:w="1465" w:type="dxa"/>
            <w:vAlign w:val="center"/>
          </w:tcPr>
          <w:p>
            <w:pPr>
              <w:tabs>
                <w:tab w:val="left" w:pos="5666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专科</w:t>
            </w:r>
          </w:p>
        </w:tc>
        <w:tc>
          <w:tcPr>
            <w:tcW w:w="1215" w:type="dxa"/>
            <w:vAlign w:val="center"/>
          </w:tcPr>
          <w:p>
            <w:pPr>
              <w:tabs>
                <w:tab w:val="left" w:pos="5666"/>
              </w:tabs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</w:t>
            </w:r>
          </w:p>
        </w:tc>
        <w:tc>
          <w:tcPr>
            <w:tcW w:w="3213" w:type="dxa"/>
            <w:vAlign w:val="center"/>
          </w:tcPr>
          <w:p>
            <w:pPr>
              <w:tabs>
                <w:tab w:val="left" w:pos="5666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热能动力、发电运行、电力运行及自动化、发电厂及电力系统、电气自动化、热工自动化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20" w:type="dxa"/>
            <w:vMerge w:val="continue"/>
          </w:tcPr>
          <w:p>
            <w:pPr>
              <w:tabs>
                <w:tab w:val="left" w:pos="5666"/>
              </w:tabs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tabs>
                <w:tab w:val="left" w:pos="5666"/>
              </w:tabs>
              <w:ind w:firstLine="360" w:firstLineChars="150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汽机运行</w:t>
            </w:r>
          </w:p>
        </w:tc>
        <w:tc>
          <w:tcPr>
            <w:tcW w:w="1465" w:type="dxa"/>
            <w:vAlign w:val="center"/>
          </w:tcPr>
          <w:p>
            <w:pPr>
              <w:tabs>
                <w:tab w:val="left" w:pos="5666"/>
              </w:tabs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专科</w:t>
            </w:r>
          </w:p>
        </w:tc>
        <w:tc>
          <w:tcPr>
            <w:tcW w:w="1215" w:type="dxa"/>
            <w:vAlign w:val="center"/>
          </w:tcPr>
          <w:p>
            <w:pPr>
              <w:tabs>
                <w:tab w:val="left" w:pos="5666"/>
              </w:tabs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15</w:t>
            </w:r>
          </w:p>
        </w:tc>
        <w:tc>
          <w:tcPr>
            <w:tcW w:w="3213" w:type="dxa"/>
            <w:vAlign w:val="center"/>
          </w:tcPr>
          <w:p>
            <w:pPr>
              <w:tabs>
                <w:tab w:val="left" w:pos="5666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热能动力、发电运行、电力运行及自动化、发电厂及电力系统、电气自动化、热工自动化</w:t>
            </w:r>
          </w:p>
        </w:tc>
      </w:tr>
    </w:tbl>
    <w:p>
      <w:pPr>
        <w:numPr>
          <w:ilvl w:val="0"/>
          <w:numId w:val="0"/>
        </w:num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2、</w:t>
      </w:r>
      <w:r>
        <w:rPr>
          <w:rFonts w:hint="eastAsia"/>
          <w:b/>
          <w:bCs/>
          <w:sz w:val="24"/>
        </w:rPr>
        <w:t>招聘要求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（1）全日制高校本科及以上毕业生。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（2）有意从事医药化工行业，具有创新，现代思维的新型人才。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（3）具备良好的沟通能力、表达能力、协调能力、抗压能力。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（4）能吃苦耐劳、心态积极向上；有化工、制药实习经历者优先。</w:t>
      </w:r>
    </w:p>
    <w:p>
      <w:pPr>
        <w:spacing w:line="360" w:lineRule="auto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4"/>
        </w:rPr>
        <w:t>（5）党员、学生会干部、班干部、在校表现突出者优先。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三、培养模式</w:t>
      </w:r>
    </w:p>
    <w:p>
      <w:pPr>
        <w:spacing w:line="360" w:lineRule="auto"/>
        <w:ind w:firstLine="48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4"/>
        </w:rPr>
        <w:t>1、双通道晋升渠道，两条晋升通道可以相互转换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技术类晋升通道：</w:t>
      </w:r>
      <w:r>
        <w:rPr>
          <w:rFonts w:hint="eastAsia"/>
          <w:sz w:val="24"/>
          <w:lang w:val="en-US" w:eastAsia="zh-CN"/>
        </w:rPr>
        <w:t>新骨干</w:t>
      </w:r>
      <w:r>
        <w:rPr>
          <w:rFonts w:hint="eastAsia"/>
          <w:sz w:val="24"/>
        </w:rPr>
        <w:t>-----工程师----副主任工程师----主任工程师----高级工程师。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管理类晋升通道：</w:t>
      </w:r>
      <w:r>
        <w:rPr>
          <w:rFonts w:hint="eastAsia"/>
          <w:sz w:val="24"/>
          <w:lang w:val="en-US" w:eastAsia="zh-CN"/>
        </w:rPr>
        <w:t>新骨干</w:t>
      </w:r>
      <w:r>
        <w:rPr>
          <w:rFonts w:hint="eastAsia"/>
          <w:sz w:val="24"/>
        </w:rPr>
        <w:t>-----车间班组长----车间副主任/部门科长----车间主任/部门副经理---部门经理。</w:t>
      </w:r>
    </w:p>
    <w:p>
      <w:pPr>
        <w:numPr>
          <w:ilvl w:val="0"/>
          <w:numId w:val="2"/>
        </w:numPr>
        <w:spacing w:line="360" w:lineRule="auto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薪资待遇</w:t>
      </w:r>
    </w:p>
    <w:p>
      <w:pPr>
        <w:numPr>
          <w:ilvl w:val="0"/>
          <w:numId w:val="0"/>
        </w:numPr>
        <w:spacing w:line="360" w:lineRule="auto"/>
        <w:rPr>
          <w:rFonts w:hint="default" w:eastAsiaTheme="minorEastAsia"/>
          <w:b/>
          <w:bCs/>
          <w:color w:val="FF0000"/>
          <w:sz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lang w:val="en-US" w:eastAsia="zh-CN"/>
        </w:rPr>
        <w:t>薪资综合年薪6-8W/年</w:t>
      </w:r>
    </w:p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五、福利待遇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（1）五险一金：养老、医疗、工伤、生育、失业、住房公积金。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（2）免费食宿：为大学生提供免费食宿。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（3）无息借款：公司建有人才公寓，为公司评定的工程师及以上，骨干提供当地首套房首付无息借款。 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4</w:t>
      </w:r>
      <w:r>
        <w:rPr>
          <w:rFonts w:hint="eastAsia"/>
          <w:sz w:val="24"/>
        </w:rPr>
        <w:t>）春节假期：年休假三周左右（约20天）。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5</w:t>
      </w:r>
      <w:r>
        <w:rPr>
          <w:rFonts w:hint="eastAsia"/>
          <w:sz w:val="24"/>
        </w:rPr>
        <w:t>）优秀员工奖、安全奖、合理化建议奖等数十种奖励。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六、联系我们</w:t>
      </w:r>
      <w:bookmarkStart w:id="0" w:name="_GoBack"/>
      <w:bookmarkEnd w:id="0"/>
      <w:r>
        <w:rPr>
          <w:rFonts w:hint="eastAsia"/>
          <w:sz w:val="24"/>
        </w:rPr>
        <w:t xml:space="preserve">   </w:t>
      </w:r>
    </w:p>
    <w:p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 邮  箱：</w:t>
      </w:r>
      <w:r>
        <w:fldChar w:fldCharType="begin"/>
      </w:r>
      <w:r>
        <w:instrText xml:space="preserve"> HYPERLINK "mailto:jxhr@txpharm.com" </w:instrText>
      </w:r>
      <w:r>
        <w:fldChar w:fldCharType="separate"/>
      </w:r>
      <w:r>
        <w:rPr>
          <w:rStyle w:val="8"/>
          <w:rFonts w:hint="eastAsia"/>
          <w:sz w:val="24"/>
        </w:rPr>
        <w:t>hr2@txpharm.com</w:t>
      </w:r>
      <w:r>
        <w:rPr>
          <w:rStyle w:val="8"/>
          <w:rFonts w:hint="eastAsia"/>
          <w:sz w:val="24"/>
        </w:rPr>
        <w:fldChar w:fldCharType="end"/>
      </w:r>
    </w:p>
    <w:p>
      <w:pPr>
        <w:spacing w:line="360" w:lineRule="auto"/>
        <w:jc w:val="left"/>
        <w:rPr>
          <w:rStyle w:val="8"/>
          <w:rFonts w:hint="eastAsia"/>
          <w:b/>
          <w:bCs/>
          <w:sz w:val="24"/>
        </w:rPr>
      </w:pPr>
      <w:r>
        <w:rPr>
          <w:rFonts w:hint="eastAsia"/>
          <w:sz w:val="24"/>
        </w:rPr>
        <w:t xml:space="preserve"> 官  网</w:t>
      </w:r>
      <w:r>
        <w:rPr>
          <w:rFonts w:hint="eastAsia"/>
          <w:b/>
          <w:bCs/>
          <w:sz w:val="24"/>
        </w:rPr>
        <w:t>：</w:t>
      </w:r>
      <w:r>
        <w:fldChar w:fldCharType="begin"/>
      </w:r>
      <w:r>
        <w:instrText xml:space="preserve"> HYPERLINK "http://www.txpharm.com" </w:instrText>
      </w:r>
      <w:r>
        <w:fldChar w:fldCharType="separate"/>
      </w:r>
      <w:r>
        <w:rPr>
          <w:rStyle w:val="8"/>
          <w:rFonts w:hint="eastAsia"/>
          <w:b/>
          <w:bCs/>
          <w:sz w:val="24"/>
        </w:rPr>
        <w:t>www.txpharm.com</w:t>
      </w:r>
      <w:r>
        <w:rPr>
          <w:rStyle w:val="8"/>
          <w:rFonts w:hint="eastAsia"/>
          <w:b/>
          <w:bCs/>
          <w:sz w:val="24"/>
        </w:rPr>
        <w:fldChar w:fldCharType="end"/>
      </w:r>
    </w:p>
    <w:p>
      <w:pPr>
        <w:spacing w:line="360" w:lineRule="auto"/>
        <w:jc w:val="left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工作地点：江西乐平、宁夏青铜峡</w:t>
      </w:r>
    </w:p>
    <w:p>
      <w:pPr>
        <w:rPr>
          <w:rFonts w:hint="eastAsia"/>
          <w:b/>
          <w:bCs/>
          <w:sz w:val="24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BA0BD4"/>
    <w:multiLevelType w:val="singleLevel"/>
    <w:tmpl w:val="91BA0BD4"/>
    <w:lvl w:ilvl="0" w:tentative="0">
      <w:start w:val="1"/>
      <w:numFmt w:val="decimal"/>
      <w:suff w:val="nothing"/>
      <w:lvlText w:val="%1、"/>
      <w:lvlJc w:val="left"/>
      <w:pPr>
        <w:ind w:left="420" w:firstLine="0"/>
      </w:pPr>
    </w:lvl>
  </w:abstractNum>
  <w:abstractNum w:abstractNumId="1">
    <w:nsid w:val="0236B55A"/>
    <w:multiLevelType w:val="singleLevel"/>
    <w:tmpl w:val="0236B55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1OTNjMWMwZWNiMTMwOTljMWE3NjY1YjQ5ZGY1OGIifQ=="/>
  </w:docVars>
  <w:rsids>
    <w:rsidRoot w:val="00DC030D"/>
    <w:rsid w:val="00007879"/>
    <w:rsid w:val="001F19E1"/>
    <w:rsid w:val="00297F8F"/>
    <w:rsid w:val="00301539"/>
    <w:rsid w:val="004323C3"/>
    <w:rsid w:val="004874D5"/>
    <w:rsid w:val="0070460E"/>
    <w:rsid w:val="00891AA6"/>
    <w:rsid w:val="00910881"/>
    <w:rsid w:val="0097450A"/>
    <w:rsid w:val="009E6738"/>
    <w:rsid w:val="00B20DF2"/>
    <w:rsid w:val="00B371D1"/>
    <w:rsid w:val="00B81390"/>
    <w:rsid w:val="00CA577B"/>
    <w:rsid w:val="00D54F32"/>
    <w:rsid w:val="00D6165F"/>
    <w:rsid w:val="00DC030D"/>
    <w:rsid w:val="00E12C70"/>
    <w:rsid w:val="00E15234"/>
    <w:rsid w:val="00E6325F"/>
    <w:rsid w:val="00E75207"/>
    <w:rsid w:val="00FE3CA5"/>
    <w:rsid w:val="013D0142"/>
    <w:rsid w:val="015B6D94"/>
    <w:rsid w:val="01D32DCE"/>
    <w:rsid w:val="02AD6816"/>
    <w:rsid w:val="03962305"/>
    <w:rsid w:val="039D7B38"/>
    <w:rsid w:val="05544226"/>
    <w:rsid w:val="05AD7DDA"/>
    <w:rsid w:val="062260D2"/>
    <w:rsid w:val="06F04422"/>
    <w:rsid w:val="06F3181D"/>
    <w:rsid w:val="0777244E"/>
    <w:rsid w:val="08191757"/>
    <w:rsid w:val="081E6D6D"/>
    <w:rsid w:val="08A90D2D"/>
    <w:rsid w:val="0970184A"/>
    <w:rsid w:val="098A290C"/>
    <w:rsid w:val="0A171CC6"/>
    <w:rsid w:val="0A36214C"/>
    <w:rsid w:val="0ADD4CBE"/>
    <w:rsid w:val="0B9900FC"/>
    <w:rsid w:val="0C4274CE"/>
    <w:rsid w:val="0C5B40EC"/>
    <w:rsid w:val="0C943AA2"/>
    <w:rsid w:val="0C992E66"/>
    <w:rsid w:val="0D1150F2"/>
    <w:rsid w:val="0DF90060"/>
    <w:rsid w:val="0E651252"/>
    <w:rsid w:val="0EFA4090"/>
    <w:rsid w:val="0F3330FE"/>
    <w:rsid w:val="0F7200CA"/>
    <w:rsid w:val="0FF52AA9"/>
    <w:rsid w:val="1001144E"/>
    <w:rsid w:val="106A7745"/>
    <w:rsid w:val="13601FFA"/>
    <w:rsid w:val="13855EF2"/>
    <w:rsid w:val="140908D1"/>
    <w:rsid w:val="143376FC"/>
    <w:rsid w:val="14C36CD2"/>
    <w:rsid w:val="15726D51"/>
    <w:rsid w:val="161A5018"/>
    <w:rsid w:val="16E318AE"/>
    <w:rsid w:val="185D11EC"/>
    <w:rsid w:val="18DF7E53"/>
    <w:rsid w:val="18F2402A"/>
    <w:rsid w:val="18F338FE"/>
    <w:rsid w:val="190873AA"/>
    <w:rsid w:val="193A32DB"/>
    <w:rsid w:val="1AF220BF"/>
    <w:rsid w:val="1B46065D"/>
    <w:rsid w:val="1C9A2A0F"/>
    <w:rsid w:val="1CE4012E"/>
    <w:rsid w:val="1CF77E61"/>
    <w:rsid w:val="1D7B2840"/>
    <w:rsid w:val="1D897674"/>
    <w:rsid w:val="1DC046F7"/>
    <w:rsid w:val="1E2307E2"/>
    <w:rsid w:val="1E2C7696"/>
    <w:rsid w:val="1EB458DE"/>
    <w:rsid w:val="1ECE699F"/>
    <w:rsid w:val="1EFF2FFD"/>
    <w:rsid w:val="1F494278"/>
    <w:rsid w:val="1FFB7C68"/>
    <w:rsid w:val="20D67D8D"/>
    <w:rsid w:val="21076199"/>
    <w:rsid w:val="2483647E"/>
    <w:rsid w:val="248B7CD0"/>
    <w:rsid w:val="24C85C3F"/>
    <w:rsid w:val="25024509"/>
    <w:rsid w:val="251C2AAF"/>
    <w:rsid w:val="257C0392"/>
    <w:rsid w:val="25973F8F"/>
    <w:rsid w:val="25E1345C"/>
    <w:rsid w:val="26393298"/>
    <w:rsid w:val="26591245"/>
    <w:rsid w:val="2665408D"/>
    <w:rsid w:val="26B7240F"/>
    <w:rsid w:val="26C744F3"/>
    <w:rsid w:val="270948CC"/>
    <w:rsid w:val="27871DE1"/>
    <w:rsid w:val="27C76682"/>
    <w:rsid w:val="281C4C20"/>
    <w:rsid w:val="284B1061"/>
    <w:rsid w:val="28996270"/>
    <w:rsid w:val="28CC03F4"/>
    <w:rsid w:val="297D524A"/>
    <w:rsid w:val="299C707F"/>
    <w:rsid w:val="29BA46F0"/>
    <w:rsid w:val="29E67293"/>
    <w:rsid w:val="2A420242"/>
    <w:rsid w:val="2A7B7D2F"/>
    <w:rsid w:val="2AFD081F"/>
    <w:rsid w:val="2B066AB7"/>
    <w:rsid w:val="2B1A458F"/>
    <w:rsid w:val="2B5E10AB"/>
    <w:rsid w:val="2B960845"/>
    <w:rsid w:val="2BDE3F9A"/>
    <w:rsid w:val="2BF51A0F"/>
    <w:rsid w:val="2C3A1B18"/>
    <w:rsid w:val="2E2B796A"/>
    <w:rsid w:val="2E2C7CF4"/>
    <w:rsid w:val="2E444588"/>
    <w:rsid w:val="2E5F7614"/>
    <w:rsid w:val="2EB45BB2"/>
    <w:rsid w:val="2ED86DA0"/>
    <w:rsid w:val="2F25085E"/>
    <w:rsid w:val="2F650C5A"/>
    <w:rsid w:val="2F7D2448"/>
    <w:rsid w:val="2F8F217B"/>
    <w:rsid w:val="31772EC7"/>
    <w:rsid w:val="317E4255"/>
    <w:rsid w:val="31FA7AB2"/>
    <w:rsid w:val="32230959"/>
    <w:rsid w:val="329F4483"/>
    <w:rsid w:val="344A6670"/>
    <w:rsid w:val="34825E0A"/>
    <w:rsid w:val="34AE4E51"/>
    <w:rsid w:val="350607E9"/>
    <w:rsid w:val="3518051D"/>
    <w:rsid w:val="352B64A2"/>
    <w:rsid w:val="35E87EEF"/>
    <w:rsid w:val="364F260A"/>
    <w:rsid w:val="370E7204"/>
    <w:rsid w:val="38D26C34"/>
    <w:rsid w:val="393C6ED0"/>
    <w:rsid w:val="39557F91"/>
    <w:rsid w:val="396E2E01"/>
    <w:rsid w:val="39930ABA"/>
    <w:rsid w:val="3A541FF7"/>
    <w:rsid w:val="3A970136"/>
    <w:rsid w:val="3ACC7DDF"/>
    <w:rsid w:val="3AE07D2F"/>
    <w:rsid w:val="3B183024"/>
    <w:rsid w:val="3BCE402B"/>
    <w:rsid w:val="3BD553B9"/>
    <w:rsid w:val="3BFD221A"/>
    <w:rsid w:val="3CC316B6"/>
    <w:rsid w:val="3D19617A"/>
    <w:rsid w:val="3D670293"/>
    <w:rsid w:val="3E104487"/>
    <w:rsid w:val="3E7A2248"/>
    <w:rsid w:val="3E7A5DA4"/>
    <w:rsid w:val="3E9C3CA2"/>
    <w:rsid w:val="3EDE6333"/>
    <w:rsid w:val="3EFE4C27"/>
    <w:rsid w:val="40442B0E"/>
    <w:rsid w:val="40C26850"/>
    <w:rsid w:val="411B386E"/>
    <w:rsid w:val="412C0ABD"/>
    <w:rsid w:val="414601C0"/>
    <w:rsid w:val="425B7C9B"/>
    <w:rsid w:val="43CC0E50"/>
    <w:rsid w:val="43F403A7"/>
    <w:rsid w:val="440305EA"/>
    <w:rsid w:val="44246EDE"/>
    <w:rsid w:val="44784167"/>
    <w:rsid w:val="447D039C"/>
    <w:rsid w:val="447D65EE"/>
    <w:rsid w:val="44872FC9"/>
    <w:rsid w:val="458F0387"/>
    <w:rsid w:val="45EF7078"/>
    <w:rsid w:val="46054AED"/>
    <w:rsid w:val="46250CEB"/>
    <w:rsid w:val="46C216C6"/>
    <w:rsid w:val="46DD5122"/>
    <w:rsid w:val="48651873"/>
    <w:rsid w:val="489B5295"/>
    <w:rsid w:val="48BD16AF"/>
    <w:rsid w:val="48DA5DBD"/>
    <w:rsid w:val="49416E34"/>
    <w:rsid w:val="49935F6C"/>
    <w:rsid w:val="4A0D3F70"/>
    <w:rsid w:val="4A4365D1"/>
    <w:rsid w:val="4AC55D82"/>
    <w:rsid w:val="4B402DDE"/>
    <w:rsid w:val="4B577B99"/>
    <w:rsid w:val="4BDA60D4"/>
    <w:rsid w:val="4C453E95"/>
    <w:rsid w:val="4C583BC9"/>
    <w:rsid w:val="4CC96874"/>
    <w:rsid w:val="4E1A6C5C"/>
    <w:rsid w:val="4E3B5550"/>
    <w:rsid w:val="4F42290E"/>
    <w:rsid w:val="502B2248"/>
    <w:rsid w:val="508F1B83"/>
    <w:rsid w:val="50C8299F"/>
    <w:rsid w:val="51134562"/>
    <w:rsid w:val="51735001"/>
    <w:rsid w:val="51B53095"/>
    <w:rsid w:val="51D57A6A"/>
    <w:rsid w:val="52903990"/>
    <w:rsid w:val="534A1D91"/>
    <w:rsid w:val="53CC27A6"/>
    <w:rsid w:val="54102FDB"/>
    <w:rsid w:val="5447398A"/>
    <w:rsid w:val="546B1B39"/>
    <w:rsid w:val="54E357F0"/>
    <w:rsid w:val="552A00CC"/>
    <w:rsid w:val="555100A3"/>
    <w:rsid w:val="55A25EB5"/>
    <w:rsid w:val="564B654C"/>
    <w:rsid w:val="56A143BE"/>
    <w:rsid w:val="5738590E"/>
    <w:rsid w:val="57650F48"/>
    <w:rsid w:val="580308C3"/>
    <w:rsid w:val="58584F50"/>
    <w:rsid w:val="5875340D"/>
    <w:rsid w:val="5963595B"/>
    <w:rsid w:val="59941FB8"/>
    <w:rsid w:val="5B40370B"/>
    <w:rsid w:val="5B5C08B4"/>
    <w:rsid w:val="5B841BB9"/>
    <w:rsid w:val="5C07081F"/>
    <w:rsid w:val="5C401F83"/>
    <w:rsid w:val="5C5D0D87"/>
    <w:rsid w:val="5CCE758F"/>
    <w:rsid w:val="5D812854"/>
    <w:rsid w:val="5DE11544"/>
    <w:rsid w:val="5DEA21A7"/>
    <w:rsid w:val="5F5A7800"/>
    <w:rsid w:val="5F694AF0"/>
    <w:rsid w:val="5F9A19AB"/>
    <w:rsid w:val="5FAB3DFD"/>
    <w:rsid w:val="60561D75"/>
    <w:rsid w:val="610C0686"/>
    <w:rsid w:val="61A86601"/>
    <w:rsid w:val="62126170"/>
    <w:rsid w:val="62DB2A06"/>
    <w:rsid w:val="632E6FDA"/>
    <w:rsid w:val="63493E13"/>
    <w:rsid w:val="64FD6C64"/>
    <w:rsid w:val="65426D6C"/>
    <w:rsid w:val="654725D5"/>
    <w:rsid w:val="656E57C5"/>
    <w:rsid w:val="65BA4B55"/>
    <w:rsid w:val="663E7534"/>
    <w:rsid w:val="66DA3FFA"/>
    <w:rsid w:val="67566AFF"/>
    <w:rsid w:val="67825B46"/>
    <w:rsid w:val="67E4235D"/>
    <w:rsid w:val="68A85138"/>
    <w:rsid w:val="6A0445F0"/>
    <w:rsid w:val="6A6D488B"/>
    <w:rsid w:val="6ACD50E6"/>
    <w:rsid w:val="6AF1726A"/>
    <w:rsid w:val="6B064398"/>
    <w:rsid w:val="6CC10EBE"/>
    <w:rsid w:val="6D561A4E"/>
    <w:rsid w:val="6D7D3037"/>
    <w:rsid w:val="6D8F68C7"/>
    <w:rsid w:val="6DC5053A"/>
    <w:rsid w:val="6DEB5586"/>
    <w:rsid w:val="6E7206C2"/>
    <w:rsid w:val="6F213E96"/>
    <w:rsid w:val="6F3C65DA"/>
    <w:rsid w:val="6F92269E"/>
    <w:rsid w:val="6FBE7937"/>
    <w:rsid w:val="6FFD045F"/>
    <w:rsid w:val="70223A22"/>
    <w:rsid w:val="71290DE0"/>
    <w:rsid w:val="71681909"/>
    <w:rsid w:val="71AD1A11"/>
    <w:rsid w:val="71C70D25"/>
    <w:rsid w:val="72253C9E"/>
    <w:rsid w:val="729B7ABC"/>
    <w:rsid w:val="72B017B9"/>
    <w:rsid w:val="72BC63B0"/>
    <w:rsid w:val="73010267"/>
    <w:rsid w:val="745368A0"/>
    <w:rsid w:val="74933140"/>
    <w:rsid w:val="753C7334"/>
    <w:rsid w:val="757A4300"/>
    <w:rsid w:val="75866801"/>
    <w:rsid w:val="764C17F9"/>
    <w:rsid w:val="769907B6"/>
    <w:rsid w:val="76EC08E6"/>
    <w:rsid w:val="77C6382D"/>
    <w:rsid w:val="77ED2B68"/>
    <w:rsid w:val="79780B57"/>
    <w:rsid w:val="798017B9"/>
    <w:rsid w:val="79D73ACF"/>
    <w:rsid w:val="79FC3536"/>
    <w:rsid w:val="7A0E6D61"/>
    <w:rsid w:val="7A9674E6"/>
    <w:rsid w:val="7AF75AAB"/>
    <w:rsid w:val="7B25086A"/>
    <w:rsid w:val="7B6C46EB"/>
    <w:rsid w:val="7BE40725"/>
    <w:rsid w:val="7CF229CE"/>
    <w:rsid w:val="7E655B4E"/>
    <w:rsid w:val="7E725B75"/>
    <w:rsid w:val="7EE8052D"/>
    <w:rsid w:val="7F242BCB"/>
    <w:rsid w:val="7F6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annotation subject"/>
    <w:basedOn w:val="2"/>
    <w:next w:val="2"/>
    <w:link w:val="12"/>
    <w:qFormat/>
    <w:uiPriority w:val="0"/>
    <w:rPr>
      <w:b/>
      <w:bCs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annotation reference"/>
    <w:basedOn w:val="7"/>
    <w:qFormat/>
    <w:uiPriority w:val="0"/>
    <w:rPr>
      <w:sz w:val="21"/>
      <w:szCs w:val="21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文字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2">
    <w:name w:val="批注主题 字符"/>
    <w:basedOn w:val="11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3">
    <w:name w:val="批注框文本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251</Words>
  <Characters>1437</Characters>
  <Lines>11</Lines>
  <Paragraphs>3</Paragraphs>
  <TotalTime>6</TotalTime>
  <ScaleCrop>false</ScaleCrop>
  <LinksUpToDate>false</LinksUpToDate>
  <CharactersWithSpaces>1685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2022-08-24T09:09:00Z</dcterms:created>
  <dc:creator>Administrator</dc:creator>
  <cp:lastModifiedBy>微信用户</cp:lastModifiedBy>
  <dcterms:modified xsi:type="dcterms:W3CDTF">2023-10-19T09:00:55Z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477E78B8922D4D73998B04DC20B71EFA_13</vt:lpwstr>
  </property>
</Properties>
</file>