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center"/>
        <w:rPr>
          <w:rFonts w:ascii="Times New Roman" w:hAnsi="Times New Roman" w:eastAsia="方正大标宋简体" w:cs="Times New Roman"/>
          <w:b/>
          <w:color w:val="000000" w:themeColor="text1"/>
          <w:kern w:val="0"/>
          <w:sz w:val="44"/>
          <w:szCs w:val="44"/>
          <w14:textFill>
            <w14:solidFill>
              <w14:schemeClr w14:val="tx1"/>
            </w14:solidFill>
          </w14:textFill>
        </w:rPr>
      </w:pPr>
    </w:p>
    <w:p>
      <w:pPr>
        <w:widowControl/>
        <w:spacing w:line="540" w:lineRule="exact"/>
        <w:jc w:val="center"/>
        <w:rPr>
          <w:rFonts w:ascii="Times New Roman" w:hAnsi="Times New Roman" w:eastAsia="方正大标宋简体" w:cs="Times New Roman"/>
          <w:b/>
          <w:color w:val="000000" w:themeColor="text1"/>
          <w:kern w:val="0"/>
          <w:sz w:val="44"/>
          <w:szCs w:val="44"/>
          <w14:textFill>
            <w14:solidFill>
              <w14:schemeClr w14:val="tx1"/>
            </w14:solidFill>
          </w14:textFill>
        </w:rPr>
      </w:pPr>
    </w:p>
    <w:p>
      <w:pPr>
        <w:widowControl/>
        <w:spacing w:line="540" w:lineRule="exact"/>
        <w:jc w:val="center"/>
        <w:rPr>
          <w:rFonts w:ascii="Times New Roman" w:hAnsi="Times New Roman" w:eastAsia="方正小标宋简体" w:cs="Times New Roman"/>
          <w:b/>
          <w:color w:val="000000" w:themeColor="text1"/>
          <w:kern w:val="0"/>
          <w:sz w:val="44"/>
          <w:szCs w:val="44"/>
          <w14:textFill>
            <w14:solidFill>
              <w14:schemeClr w14:val="tx1"/>
            </w14:solidFill>
          </w14:textFill>
        </w:rPr>
      </w:pPr>
      <w:r>
        <w:rPr>
          <w:rFonts w:ascii="Times New Roman" w:hAnsi="Times New Roman" w:eastAsia="方正小标宋简体" w:cs="Times New Roman"/>
          <w:b/>
          <w:color w:val="000000" w:themeColor="text1"/>
          <w:kern w:val="0"/>
          <w:sz w:val="44"/>
          <w:szCs w:val="44"/>
          <w14:textFill>
            <w14:solidFill>
              <w14:schemeClr w14:val="tx1"/>
            </w14:solidFill>
          </w14:textFill>
        </w:rPr>
        <w:t>中国石油化工股份有限公司九江分公司</w:t>
      </w:r>
    </w:p>
    <w:p>
      <w:pPr>
        <w:widowControl/>
        <w:spacing w:line="540" w:lineRule="exact"/>
        <w:jc w:val="center"/>
        <w:rPr>
          <w:rFonts w:ascii="Times New Roman" w:hAnsi="Times New Roman" w:eastAsia="方正大标宋简体" w:cs="Times New Roman"/>
          <w:b/>
          <w:color w:val="000000" w:themeColor="text1"/>
          <w:kern w:val="0"/>
          <w:sz w:val="44"/>
          <w:szCs w:val="44"/>
          <w14:textFill>
            <w14:solidFill>
              <w14:schemeClr w14:val="tx1"/>
            </w14:solidFill>
          </w14:textFill>
        </w:rPr>
      </w:pPr>
      <w:r>
        <w:rPr>
          <w:rFonts w:ascii="Times New Roman" w:hAnsi="Times New Roman" w:eastAsia="黑体" w:cs="Times New Roman"/>
          <w:b/>
          <w:color w:val="000000"/>
          <w:spacing w:val="-4"/>
          <w:kern w:val="0"/>
          <w:sz w:val="30"/>
          <w:szCs w:val="30"/>
          <w:shd w:val="clear" w:color="auto" w:fill="FFFFFF"/>
        </w:rPr>
        <w:drawing>
          <wp:anchor distT="0" distB="0" distL="114300" distR="114300" simplePos="0" relativeHeight="251659264" behindDoc="0" locked="0" layoutInCell="1" allowOverlap="1">
            <wp:simplePos x="0" y="0"/>
            <wp:positionH relativeFrom="column">
              <wp:posOffset>6985</wp:posOffset>
            </wp:positionH>
            <wp:positionV relativeFrom="paragraph">
              <wp:posOffset>492125</wp:posOffset>
            </wp:positionV>
            <wp:extent cx="5615940" cy="1565910"/>
            <wp:effectExtent l="0" t="0" r="3810" b="0"/>
            <wp:wrapSquare wrapText="bothSides"/>
            <wp:docPr id="4" name="图片 4" descr="G:\习近平总书记视察九江石化2023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G:\习近平总书记视察九江石化2023101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615940" cy="1565910"/>
                    </a:xfrm>
                    <a:prstGeom prst="rect">
                      <a:avLst/>
                    </a:prstGeom>
                    <a:noFill/>
                    <a:ln>
                      <a:noFill/>
                    </a:ln>
                  </pic:spPr>
                </pic:pic>
              </a:graphicData>
            </a:graphic>
          </wp:anchor>
        </w:drawing>
      </w:r>
      <w:r>
        <w:rPr>
          <w:rFonts w:ascii="Times New Roman" w:hAnsi="Times New Roman" w:eastAsia="方正小标宋简体" w:cs="Times New Roman"/>
          <w:b/>
          <w:color w:val="000000" w:themeColor="text1"/>
          <w:kern w:val="0"/>
          <w:sz w:val="44"/>
          <w:szCs w:val="44"/>
          <w14:textFill>
            <w14:solidFill>
              <w14:schemeClr w14:val="tx1"/>
            </w14:solidFill>
          </w14:textFill>
        </w:rPr>
        <w:t>2024年春季</w:t>
      </w:r>
      <w:r>
        <w:rPr>
          <w:rFonts w:hint="eastAsia" w:ascii="Times New Roman" w:hAnsi="Times New Roman" w:eastAsia="方正小标宋简体" w:cs="Times New Roman"/>
          <w:b/>
          <w:color w:val="000000" w:themeColor="text1"/>
          <w:kern w:val="0"/>
          <w:sz w:val="44"/>
          <w:szCs w:val="44"/>
          <w14:textFill>
            <w14:solidFill>
              <w14:schemeClr w14:val="tx1"/>
            </w14:solidFill>
          </w14:textFill>
        </w:rPr>
        <w:t>校园</w:t>
      </w:r>
      <w:r>
        <w:rPr>
          <w:rFonts w:ascii="Times New Roman" w:hAnsi="Times New Roman" w:eastAsia="方正小标宋简体" w:cs="Times New Roman"/>
          <w:b/>
          <w:color w:val="000000" w:themeColor="text1"/>
          <w:kern w:val="0"/>
          <w:sz w:val="44"/>
          <w:szCs w:val="44"/>
          <w14:textFill>
            <w14:solidFill>
              <w14:schemeClr w14:val="tx1"/>
            </w14:solidFill>
          </w14:textFill>
        </w:rPr>
        <w:t>招聘简章</w:t>
      </w:r>
    </w:p>
    <w:p>
      <w:pPr>
        <w:spacing w:line="540" w:lineRule="exact"/>
        <w:ind w:firstLine="586" w:firstLineChars="200"/>
        <w:rPr>
          <w:rFonts w:ascii="Times New Roman" w:hAnsi="Times New Roman" w:eastAsia="黑体" w:cs="Times New Roman"/>
          <w:b/>
          <w:color w:val="000000"/>
          <w:spacing w:val="-4"/>
          <w:kern w:val="0"/>
          <w:sz w:val="30"/>
          <w:szCs w:val="30"/>
          <w:shd w:val="clear" w:color="auto" w:fill="FFFFFF"/>
        </w:rPr>
      </w:pPr>
      <w:r>
        <w:rPr>
          <w:rFonts w:ascii="Times New Roman" w:hAnsi="Times New Roman" w:eastAsia="黑体" w:cs="Times New Roman"/>
          <w:b/>
          <w:color w:val="000000"/>
          <w:spacing w:val="-4"/>
          <w:kern w:val="0"/>
          <w:sz w:val="30"/>
          <w:szCs w:val="30"/>
          <w:shd w:val="clear" w:color="auto" w:fill="FFFFFF"/>
        </w:rPr>
        <w:t>一、单位简介</w:t>
      </w:r>
    </w:p>
    <w:p>
      <w:pPr>
        <w:spacing w:line="540" w:lineRule="exact"/>
        <w:ind w:firstLine="586" w:firstLineChars="200"/>
        <w:rPr>
          <w:rFonts w:ascii="Times New Roman" w:hAnsi="Times New Roman" w:eastAsia="仿宋_GB2312" w:cs="Times New Roman"/>
          <w:b/>
          <w:color w:val="000000"/>
          <w:spacing w:val="-4"/>
          <w:kern w:val="0"/>
          <w:sz w:val="30"/>
          <w:szCs w:val="30"/>
          <w:shd w:val="clear" w:color="auto" w:fill="FFFFFF"/>
        </w:rPr>
      </w:pPr>
      <w:r>
        <w:rPr>
          <w:rFonts w:ascii="Times New Roman" w:hAnsi="Times New Roman" w:eastAsia="仿宋_GB2312" w:cs="Times New Roman"/>
          <w:b/>
          <w:color w:val="000000"/>
          <w:spacing w:val="-4"/>
          <w:kern w:val="0"/>
          <w:sz w:val="30"/>
          <w:szCs w:val="30"/>
          <w:shd w:val="clear" w:color="auto" w:fill="FFFFFF"/>
        </w:rPr>
        <w:t>中国石油化工股份有限公司九江分公司简称“九江石化”，隶属中国石化，1980年10月建成投产，是我国中部地区和长江流域重点炼化企业、江西省唯一的大型石油化工企业。公司坐落在庐山脚下、长江之滨、鄱阳湖畔，占地面积3.68平方公里</w:t>
      </w:r>
      <w:r>
        <w:rPr>
          <w:rFonts w:ascii="Times New Roman" w:hAnsi="Times New Roman" w:eastAsia="仿宋_GB2312" w:cs="Times New Roman"/>
          <w:b/>
          <w:spacing w:val="-4"/>
          <w:kern w:val="0"/>
          <w:sz w:val="30"/>
          <w:szCs w:val="30"/>
          <w:shd w:val="clear" w:color="auto" w:fill="FFFFFF"/>
        </w:rPr>
        <w:t>，现有职工2200余人。</w:t>
      </w:r>
    </w:p>
    <w:p>
      <w:pPr>
        <w:spacing w:line="540" w:lineRule="exact"/>
        <w:ind w:firstLine="586" w:firstLineChars="200"/>
        <w:rPr>
          <w:rFonts w:ascii="Times New Roman" w:hAnsi="Times New Roman" w:eastAsia="仿宋_GB2312" w:cs="Times New Roman"/>
          <w:b/>
          <w:color w:val="000000"/>
          <w:spacing w:val="-4"/>
          <w:kern w:val="0"/>
          <w:sz w:val="30"/>
          <w:szCs w:val="30"/>
          <w:shd w:val="clear" w:color="auto" w:fill="FFFFFF"/>
        </w:rPr>
      </w:pPr>
      <w:r>
        <w:rPr>
          <w:rFonts w:ascii="Times New Roman" w:hAnsi="Times New Roman" w:eastAsia="仿宋_GB2312" w:cs="Times New Roman"/>
          <w:b/>
          <w:color w:val="000000"/>
          <w:spacing w:val="-4"/>
          <w:kern w:val="0"/>
          <w:sz w:val="30"/>
          <w:szCs w:val="30"/>
          <w:shd w:val="clear" w:color="auto" w:fill="FFFFFF"/>
        </w:rPr>
        <w:t>公司现有原油一次加工能力1000万吨/年，主要有常减压、催化裂化、连续重整、延迟焦化、汽柴油加氢、渣油加氢、加氢裂化、煤制氢、聚丙烯、苯乙烯、烷基化、芳烃等主体生产装置，以及配套的公用工程、辅助系统等。主要产品有汽煤柴油、化工轻油、三苯、液化气、石油焦、聚丙烯、苯乙烯、烷基化油及芳烃类产品等。原油通过仪-长原油管道复线进厂，成品油通过九-昌-樟管道、铁路、水路等方式出厂。</w:t>
      </w:r>
    </w:p>
    <w:p>
      <w:pPr>
        <w:spacing w:line="540" w:lineRule="exact"/>
        <w:ind w:firstLine="586" w:firstLineChars="200"/>
        <w:rPr>
          <w:rFonts w:ascii="Times New Roman" w:hAnsi="Times New Roman" w:eastAsia="黑体" w:cs="Times New Roman"/>
          <w:b/>
          <w:color w:val="000000"/>
          <w:spacing w:val="-4"/>
          <w:kern w:val="0"/>
          <w:sz w:val="30"/>
          <w:szCs w:val="30"/>
          <w:shd w:val="clear" w:color="auto" w:fill="FFFFFF"/>
        </w:rPr>
      </w:pPr>
      <w:r>
        <w:rPr>
          <w:rFonts w:ascii="Times New Roman" w:hAnsi="Times New Roman" w:eastAsia="黑体" w:cs="Times New Roman"/>
          <w:b/>
          <w:color w:val="000000"/>
          <w:spacing w:val="-4"/>
          <w:kern w:val="0"/>
          <w:sz w:val="30"/>
          <w:szCs w:val="30"/>
          <w:shd w:val="clear" w:color="auto" w:fill="FFFFFF"/>
        </w:rPr>
        <w:t>二、企业现状及发展前景</w:t>
      </w:r>
    </w:p>
    <w:p>
      <w:pPr>
        <w:spacing w:line="540" w:lineRule="exact"/>
        <w:ind w:firstLine="586" w:firstLineChars="200"/>
        <w:rPr>
          <w:rFonts w:ascii="Times New Roman" w:hAnsi="Times New Roman" w:eastAsia="仿宋_GB2312" w:cs="Times New Roman"/>
          <w:b/>
          <w:color w:val="000000"/>
          <w:spacing w:val="-4"/>
          <w:kern w:val="0"/>
          <w:sz w:val="30"/>
          <w:szCs w:val="30"/>
          <w:shd w:val="clear" w:color="auto" w:fill="FFFFFF"/>
        </w:rPr>
      </w:pPr>
      <w:r>
        <w:rPr>
          <w:rFonts w:ascii="Times New Roman" w:hAnsi="Times New Roman" w:eastAsia="仿宋_GB2312" w:cs="Times New Roman"/>
          <w:b/>
          <w:color w:val="000000"/>
          <w:spacing w:val="-4"/>
          <w:kern w:val="0"/>
          <w:sz w:val="30"/>
          <w:szCs w:val="30"/>
          <w:shd w:val="clear" w:color="auto" w:fill="FFFFFF"/>
        </w:rPr>
        <w:t>自1980年10月建成投产以来，累计加工原油1.4亿吨，实现销售收入超6000亿元，实现利税超1200亿元，是江西省第一纳税大户。公司发挥“绿色低碳”“智能工厂”“党建力量”核心竞争优势，坚持创新驱动发展，入选国家工信部首批智能制造试点示范企业、首批两化融合管理体系贯标示范企业、智能制造标杆企业，国家工信部首批绿色工厂、石油和化工行业绿色工厂、中国石化绿色企业；2015年2月荣获第四届“全国文明单位”并保持至今。</w:t>
      </w:r>
    </w:p>
    <w:p>
      <w:pPr>
        <w:spacing w:line="540" w:lineRule="exact"/>
        <w:ind w:firstLine="586" w:firstLineChars="200"/>
        <w:rPr>
          <w:rFonts w:ascii="Times New Roman" w:hAnsi="Times New Roman" w:eastAsia="仿宋_GB2312" w:cs="Times New Roman"/>
          <w:b/>
          <w:color w:val="000000"/>
          <w:spacing w:val="-4"/>
          <w:kern w:val="0"/>
          <w:sz w:val="30"/>
          <w:szCs w:val="30"/>
          <w:shd w:val="clear" w:color="auto" w:fill="FFFFFF"/>
        </w:rPr>
      </w:pPr>
      <w:r>
        <w:rPr>
          <w:rFonts w:ascii="Times New Roman" w:hAnsi="Times New Roman" w:eastAsia="仿宋_GB2312" w:cs="Times New Roman"/>
          <w:b/>
          <w:color w:val="000000"/>
          <w:spacing w:val="-4"/>
          <w:kern w:val="0"/>
          <w:sz w:val="30"/>
          <w:szCs w:val="30"/>
          <w:shd w:val="clear" w:color="auto" w:fill="FFFFFF"/>
        </w:rPr>
        <w:t>公司以世界领先为矢志追求，以绿色智能为核心驱动，以“炼化一体化”为发展方向，倾力打造世界领先绿色智能炼化企业，构建高质量发展新格局。2022年6月8日，国家产业布局的重点项目、中国石化第三代芳烃技术首套工业应用装置——九江石化89万吨/年芳烃联合装置一次开车成功并产出合格产品，标志着我国芳烃成套技术达到国际领先水平，标志着九江石化从燃料型企业向炼化一体化企业高质量转型发展迈出了关键的一步。</w:t>
      </w:r>
    </w:p>
    <w:p>
      <w:pPr>
        <w:spacing w:line="540" w:lineRule="exact"/>
        <w:ind w:firstLine="586" w:firstLineChars="200"/>
        <w:rPr>
          <w:rFonts w:ascii="Times New Roman" w:hAnsi="Times New Roman" w:eastAsia="仿宋_GB2312" w:cs="Times New Roman"/>
          <w:b/>
          <w:sz w:val="32"/>
          <w:szCs w:val="32"/>
        </w:rPr>
      </w:pPr>
      <w:r>
        <w:rPr>
          <w:rFonts w:ascii="Times New Roman" w:hAnsi="Times New Roman" w:eastAsia="仿宋_GB2312" w:cs="Times New Roman"/>
          <w:b/>
          <w:color w:val="000000"/>
          <w:spacing w:val="-4"/>
          <w:kern w:val="0"/>
          <w:sz w:val="30"/>
          <w:szCs w:val="30"/>
          <w:shd w:val="clear" w:color="auto" w:fill="FFFFFF"/>
        </w:rPr>
        <w:t>2023年10月10日，中共中央总书记、国家主席、中央军委主席习近平视察九江石化，走进公司生产管控中心控制大厅和检验计量中心实验室，详细了解企业转型升级打造绿色智能工厂、推动节能减污降碳等情况，对企业开展科学检测、严格排放标准等做法表示肯定。</w:t>
      </w:r>
      <w:r>
        <w:rPr>
          <w:rFonts w:ascii="Times New Roman" w:hAnsi="Times New Roman" w:eastAsia="仿宋_GB2312" w:cs="Times New Roman"/>
          <w:b/>
          <w:sz w:val="32"/>
          <w:szCs w:val="32"/>
        </w:rPr>
        <w:t>2023年11月6日，中国石化批复九江石化150万吨/年芳烃及炼油配套改造项目，并成功列入国家《石化产业规划布局方案》规划项目，包括：新建150万吨/年芳烃联合装置，新建200万吨/年加氢裂化装置、200万吨/年连续重整装置、7万吨/年硫黄回收装置、12万标立/小时变压吸附（PSA）装置等，总投资为102.9亿元。同步，可研申报300万吨/年PTA项目，九江石化面临跨越式、高速度、可持续的发展阶段。</w:t>
      </w:r>
    </w:p>
    <w:p>
      <w:pPr>
        <w:tabs>
          <w:tab w:val="left" w:pos="921"/>
        </w:tabs>
        <w:spacing w:line="540" w:lineRule="exact"/>
        <w:ind w:firstLine="586" w:firstLineChars="200"/>
        <w:rPr>
          <w:rFonts w:ascii="Times New Roman" w:hAnsi="Times New Roman" w:eastAsia="黑体" w:cs="Times New Roman"/>
          <w:b/>
          <w:color w:val="000000"/>
          <w:spacing w:val="-4"/>
          <w:kern w:val="0"/>
          <w:sz w:val="30"/>
          <w:szCs w:val="30"/>
          <w:shd w:val="clear" w:color="auto" w:fill="FFFFFF"/>
        </w:rPr>
      </w:pPr>
      <w:r>
        <w:rPr>
          <w:rFonts w:ascii="Times New Roman" w:hAnsi="Times New Roman" w:eastAsia="黑体" w:cs="Times New Roman"/>
          <w:b/>
          <w:color w:val="000000"/>
          <w:spacing w:val="-4"/>
          <w:kern w:val="0"/>
          <w:sz w:val="30"/>
          <w:szCs w:val="30"/>
          <w:shd w:val="clear" w:color="auto" w:fill="FFFFFF"/>
        </w:rPr>
        <w:t>三、企业人才基础及人力资源政策</w:t>
      </w:r>
    </w:p>
    <w:p>
      <w:pPr>
        <w:tabs>
          <w:tab w:val="left" w:pos="921"/>
        </w:tabs>
        <w:spacing w:line="540" w:lineRule="exact"/>
        <w:ind w:firstLine="586" w:firstLineChars="200"/>
        <w:rPr>
          <w:rFonts w:ascii="Times New Roman" w:hAnsi="Times New Roman" w:eastAsia="仿宋_GB2312" w:cs="Times New Roman"/>
          <w:b/>
          <w:spacing w:val="-4"/>
          <w:kern w:val="0"/>
          <w:sz w:val="30"/>
          <w:szCs w:val="30"/>
          <w:shd w:val="clear" w:color="auto" w:fill="FFFFFF"/>
        </w:rPr>
      </w:pPr>
      <w:r>
        <w:rPr>
          <w:rFonts w:ascii="Times New Roman" w:hAnsi="Times New Roman" w:eastAsia="仿宋_GB2312" w:cs="Times New Roman"/>
          <w:b/>
          <w:spacing w:val="-4"/>
          <w:kern w:val="0"/>
          <w:sz w:val="30"/>
          <w:szCs w:val="30"/>
          <w:shd w:val="clear" w:color="auto" w:fill="FFFFFF"/>
        </w:rPr>
        <w:t>九江石化</w:t>
      </w:r>
      <w:r>
        <w:rPr>
          <w:rFonts w:ascii="Times New Roman" w:hAnsi="Times New Roman" w:eastAsia="仿宋_GB2312" w:cs="Times New Roman"/>
          <w:b/>
          <w:color w:val="000000"/>
          <w:spacing w:val="-4"/>
          <w:kern w:val="0"/>
          <w:sz w:val="30"/>
          <w:szCs w:val="30"/>
          <w:shd w:val="clear" w:color="auto" w:fill="FFFFFF"/>
        </w:rPr>
        <w:t>重视骨干科技人才，现有</w:t>
      </w:r>
      <w:r>
        <w:rPr>
          <w:rFonts w:ascii="Times New Roman" w:hAnsi="Times New Roman" w:eastAsia="仿宋_GB2312" w:cs="Times New Roman"/>
          <w:b/>
          <w:bCs/>
          <w:color w:val="000000"/>
          <w:spacing w:val="-4"/>
          <w:sz w:val="30"/>
          <w:szCs w:val="30"/>
          <w:shd w:val="clear" w:color="auto" w:fill="FFFFFF"/>
        </w:rPr>
        <w:t>国家新世纪百千万人才1人，</w:t>
      </w:r>
      <w:r>
        <w:rPr>
          <w:rFonts w:ascii="Times New Roman" w:hAnsi="Times New Roman" w:eastAsia="仿宋_GB2312" w:cs="Times New Roman"/>
          <w:b/>
          <w:color w:val="000000"/>
          <w:spacing w:val="-4"/>
          <w:kern w:val="0"/>
          <w:sz w:val="30"/>
          <w:szCs w:val="30"/>
          <w:shd w:val="clear" w:color="auto" w:fill="FFFFFF"/>
        </w:rPr>
        <w:t>享受国务院特殊津贴专家11人，集团公司突出贡献专家6人；荣获闵</w:t>
      </w:r>
      <w:r>
        <w:rPr>
          <w:rFonts w:ascii="Times New Roman" w:hAnsi="Times New Roman" w:eastAsia="仿宋_GB2312" w:cs="Times New Roman"/>
          <w:b/>
          <w:spacing w:val="-4"/>
          <w:kern w:val="0"/>
          <w:sz w:val="30"/>
          <w:szCs w:val="30"/>
          <w:shd w:val="clear" w:color="auto" w:fill="FFFFFF"/>
        </w:rPr>
        <w:t>恩泽青年科技人才奖18人，省部级技术能手96人，江西省百千万人才工程获得者若干人。</w:t>
      </w:r>
    </w:p>
    <w:p>
      <w:pPr>
        <w:tabs>
          <w:tab w:val="left" w:pos="921"/>
        </w:tabs>
        <w:spacing w:line="540" w:lineRule="exact"/>
        <w:ind w:firstLine="586" w:firstLineChars="200"/>
        <w:rPr>
          <w:rFonts w:ascii="Times New Roman" w:hAnsi="Times New Roman" w:eastAsia="仿宋_GB2312" w:cs="Times New Roman"/>
          <w:b/>
          <w:color w:val="000000"/>
          <w:spacing w:val="-4"/>
          <w:kern w:val="0"/>
          <w:sz w:val="30"/>
          <w:szCs w:val="30"/>
          <w:shd w:val="clear" w:color="auto" w:fill="FFFFFF"/>
        </w:rPr>
      </w:pPr>
      <w:r>
        <w:rPr>
          <w:rFonts w:ascii="Times New Roman" w:hAnsi="Times New Roman" w:eastAsia="仿宋_GB2312" w:cs="Times New Roman"/>
          <w:b/>
          <w:color w:val="000000"/>
          <w:spacing w:val="-4"/>
          <w:kern w:val="0"/>
          <w:sz w:val="30"/>
          <w:szCs w:val="30"/>
          <w:shd w:val="clear" w:color="auto" w:fill="FFFFFF"/>
        </w:rPr>
        <w:t>九江石化</w:t>
      </w:r>
      <w:r>
        <w:rPr>
          <w:rFonts w:ascii="Times New Roman" w:hAnsi="Times New Roman" w:eastAsia="仿宋_GB2312" w:cs="Times New Roman"/>
          <w:b/>
          <w:sz w:val="32"/>
          <w:szCs w:val="32"/>
        </w:rPr>
        <w:t>深化推进人才强企战略</w:t>
      </w:r>
      <w:r>
        <w:rPr>
          <w:rFonts w:ascii="Times New Roman" w:hAnsi="Times New Roman" w:eastAsia="仿宋_GB2312" w:cs="Times New Roman"/>
          <w:b/>
          <w:color w:val="000000"/>
          <w:spacing w:val="-4"/>
          <w:kern w:val="0"/>
          <w:sz w:val="30"/>
          <w:szCs w:val="30"/>
          <w:shd w:val="clear" w:color="auto" w:fill="FFFFFF"/>
        </w:rPr>
        <w:t>，</w:t>
      </w:r>
      <w:r>
        <w:rPr>
          <w:rFonts w:ascii="Times New Roman" w:hAnsi="Times New Roman" w:eastAsia="仿宋_GB2312" w:cs="Times New Roman"/>
          <w:b/>
          <w:sz w:val="32"/>
          <w:szCs w:val="32"/>
        </w:rPr>
        <w:t>实施六大人才工程，建强六大人才</w:t>
      </w:r>
      <w:r>
        <w:rPr>
          <w:rFonts w:ascii="Times New Roman" w:hAnsi="Times New Roman" w:eastAsia="仿宋_GB2312" w:cs="Times New Roman"/>
          <w:b/>
          <w:color w:val="000000"/>
          <w:spacing w:val="-4"/>
          <w:kern w:val="0"/>
          <w:sz w:val="30"/>
          <w:szCs w:val="30"/>
          <w:shd w:val="clear" w:color="auto" w:fill="FFFFFF"/>
        </w:rPr>
        <w:t>方阵，形成了统一规范的职位序列，实现了管理、专业技术、技能操作三支人才队伍成长通道“纵向畅通、横向贯通”。制度化、常态化开展职位选聘，完善职位选聘、培养、考核、评价等配套制度，形成公平竞争、能上能下的动态机制。</w:t>
      </w:r>
    </w:p>
    <w:p>
      <w:pPr>
        <w:tabs>
          <w:tab w:val="left" w:pos="921"/>
        </w:tabs>
        <w:spacing w:line="540" w:lineRule="exact"/>
        <w:ind w:firstLine="586" w:firstLineChars="200"/>
        <w:rPr>
          <w:rFonts w:ascii="Times New Roman" w:hAnsi="Times New Roman" w:eastAsia="仿宋_GB2312" w:cs="Times New Roman"/>
          <w:b/>
          <w:color w:val="000000"/>
          <w:spacing w:val="-4"/>
          <w:kern w:val="0"/>
          <w:sz w:val="30"/>
          <w:szCs w:val="30"/>
          <w:shd w:val="clear" w:color="auto" w:fill="FFFFFF"/>
        </w:rPr>
      </w:pPr>
      <w:r>
        <w:rPr>
          <w:rFonts w:ascii="Times New Roman" w:hAnsi="Times New Roman" w:eastAsia="仿宋_GB2312" w:cs="Times New Roman"/>
          <w:b/>
          <w:color w:val="000000"/>
          <w:spacing w:val="-4"/>
          <w:kern w:val="0"/>
          <w:sz w:val="30"/>
          <w:szCs w:val="30"/>
          <w:shd w:val="clear" w:color="auto" w:fill="FFFFFF"/>
        </w:rPr>
        <w:t>九江石化重视青年人才培养，综合分析新入职大学毕业生学历、专业、特长等，科学设计职业生涯规划。吸收新入职大学毕业生参加各类学习团队，通过跨专业、跨装置轮岗锻炼和跟踪考核，选拔具有发展潜力的优秀毕业生进行定制化培养，一批批优秀青年人才在企业发展中快速成长。人才成就事业，事业造就人才。一流炼化企业的建设进程已经成为锤炼人才的大熔炉、培育人才的大舞台。</w:t>
      </w:r>
    </w:p>
    <w:p>
      <w:pPr>
        <w:widowControl/>
        <w:tabs>
          <w:tab w:val="left" w:pos="921"/>
        </w:tabs>
        <w:spacing w:line="540" w:lineRule="exact"/>
        <w:ind w:firstLine="586" w:firstLineChars="200"/>
        <w:rPr>
          <w:rFonts w:ascii="Times New Roman" w:hAnsi="Times New Roman" w:eastAsia="黑体" w:cs="Times New Roman"/>
          <w:b/>
          <w:color w:val="000000"/>
          <w:spacing w:val="-4"/>
          <w:kern w:val="0"/>
          <w:sz w:val="30"/>
          <w:szCs w:val="30"/>
          <w:shd w:val="clear" w:color="auto" w:fill="FFFFFF"/>
        </w:rPr>
      </w:pPr>
      <w:r>
        <w:rPr>
          <w:rFonts w:ascii="Times New Roman" w:hAnsi="Times New Roman" w:eastAsia="黑体" w:cs="Times New Roman"/>
          <w:b/>
          <w:color w:val="000000"/>
          <w:spacing w:val="-4"/>
          <w:kern w:val="0"/>
          <w:sz w:val="30"/>
          <w:szCs w:val="30"/>
          <w:shd w:val="clear" w:color="auto" w:fill="FFFFFF"/>
        </w:rPr>
        <w:t>四、企业文化、员工生活及工作环境</w:t>
      </w:r>
    </w:p>
    <w:p>
      <w:pPr>
        <w:widowControl/>
        <w:tabs>
          <w:tab w:val="left" w:pos="921"/>
        </w:tabs>
        <w:spacing w:line="540" w:lineRule="exact"/>
        <w:ind w:firstLine="586" w:firstLineChars="200"/>
        <w:rPr>
          <w:rFonts w:ascii="Times New Roman" w:hAnsi="Times New Roman" w:eastAsia="仿宋_GB2312" w:cs="Times New Roman"/>
          <w:b/>
          <w:color w:val="000000"/>
          <w:spacing w:val="-4"/>
          <w:kern w:val="0"/>
          <w:sz w:val="30"/>
          <w:szCs w:val="30"/>
          <w:shd w:val="clear" w:color="auto" w:fill="FFFFFF"/>
        </w:rPr>
      </w:pPr>
      <w:bookmarkStart w:id="0" w:name="_GoBack"/>
      <w:bookmarkEnd w:id="0"/>
      <w:r>
        <w:rPr>
          <w:rFonts w:ascii="Times New Roman" w:hAnsi="Times New Roman" w:eastAsia="仿宋_GB2312" w:cs="Times New Roman"/>
          <w:b/>
          <w:color w:val="000000"/>
          <w:spacing w:val="-4"/>
          <w:kern w:val="0"/>
          <w:sz w:val="30"/>
          <w:szCs w:val="30"/>
          <w:shd w:val="clear" w:color="auto" w:fill="FFFFFF"/>
        </w:rPr>
        <w:t>九江石化人用激情和才智共同建设和谐安宁的幸福家园，社区绿树成荫，环境优美，健身娱乐设施齐全，社区文化生活丰富多彩。每年开展元旦迎新长跑、各类棋牌比赛、球赛等健身活动；开展书画摄影展览、文艺汇演、合唱比赛等文艺活动；开展家庭读书、特色家庭、模范家庭等家庭文化建设活动。九江石化社区共有5个生活区，每个生活区都配有健身设施，其中北区和丁区被评为中国石化4A级和谐示范小区。文化宫配置齐全，有图书馆、电影院、3个综合训练馆（室内羽毛球、排球、篮球、乒乓球馆）和游泳馆。单身职工住宿管理规范，实行公寓式管理，生活居住十分方便。</w:t>
      </w:r>
    </w:p>
    <w:p>
      <w:pPr>
        <w:widowControl/>
        <w:tabs>
          <w:tab w:val="left" w:pos="921"/>
        </w:tabs>
        <w:spacing w:line="560" w:lineRule="exact"/>
        <w:ind w:firstLine="602" w:firstLineChars="200"/>
        <w:rPr>
          <w:rFonts w:ascii="Times New Roman" w:hAnsi="Times New Roman" w:cs="Times New Roman"/>
          <w:b/>
          <w:bCs/>
          <w:color w:val="000000" w:themeColor="text1"/>
          <w:kern w:val="0"/>
          <w:sz w:val="30"/>
          <w:szCs w:val="30"/>
          <w14:textFill>
            <w14:solidFill>
              <w14:schemeClr w14:val="tx1"/>
            </w14:solidFill>
          </w14:textFill>
        </w:rPr>
        <w:sectPr>
          <w:pgSz w:w="11906" w:h="16838"/>
          <w:pgMar w:top="2098" w:right="1474" w:bottom="1985" w:left="1588" w:header="851" w:footer="992" w:gutter="0"/>
          <w:cols w:space="425" w:num="1"/>
          <w:docGrid w:linePitch="312" w:charSpace="0"/>
        </w:sectPr>
      </w:pPr>
    </w:p>
    <w:p>
      <w:pPr>
        <w:spacing w:line="560" w:lineRule="exact"/>
        <w:ind w:firstLine="602" w:firstLineChars="200"/>
        <w:rPr>
          <w:rFonts w:ascii="Times New Roman" w:hAnsi="Times New Roman" w:eastAsia="黑体" w:cs="Times New Roman"/>
          <w:b/>
          <w:color w:val="000000" w:themeColor="text1"/>
          <w:kern w:val="0"/>
          <w:sz w:val="30"/>
          <w:szCs w:val="30"/>
          <w14:textFill>
            <w14:solidFill>
              <w14:schemeClr w14:val="tx1"/>
            </w14:solidFill>
          </w14:textFill>
        </w:rPr>
      </w:pPr>
      <w:r>
        <w:rPr>
          <w:rFonts w:ascii="Times New Roman" w:hAnsi="Times New Roman" w:eastAsia="黑体" w:cs="Times New Roman"/>
          <w:b/>
          <w:color w:val="000000" w:themeColor="text1"/>
          <w:kern w:val="0"/>
          <w:sz w:val="30"/>
          <w:szCs w:val="30"/>
          <w14:textFill>
            <w14:solidFill>
              <w14:schemeClr w14:val="tx1"/>
            </w14:solidFill>
          </w14:textFill>
        </w:rPr>
        <w:t>五、招聘岗位</w:t>
      </w:r>
    </w:p>
    <w:p>
      <w:pPr>
        <w:spacing w:line="560" w:lineRule="exact"/>
        <w:jc w:val="center"/>
        <w:rPr>
          <w:rFonts w:ascii="Times New Roman" w:hAnsi="Times New Roman" w:eastAsia="方正小标宋简体" w:cs="Times New Roman"/>
          <w:b/>
          <w:color w:val="000000" w:themeColor="text1"/>
          <w:kern w:val="0"/>
          <w:sz w:val="30"/>
          <w:szCs w:val="30"/>
          <w14:textFill>
            <w14:solidFill>
              <w14:schemeClr w14:val="tx1"/>
            </w14:solidFill>
          </w14:textFill>
        </w:rPr>
      </w:pPr>
      <w:r>
        <w:rPr>
          <w:rFonts w:ascii="Times New Roman" w:hAnsi="Times New Roman" w:eastAsia="方正小标宋简体" w:cs="Times New Roman"/>
          <w:b/>
          <w:kern w:val="0"/>
          <w:sz w:val="36"/>
          <w:szCs w:val="36"/>
        </w:rPr>
        <w:t>九江石化2024年春季专项招聘岗位明细表</w:t>
      </w:r>
    </w:p>
    <w:tbl>
      <w:tblPr>
        <w:tblStyle w:val="6"/>
        <w:tblW w:w="13922" w:type="dxa"/>
        <w:jc w:val="center"/>
        <w:tblLayout w:type="autofit"/>
        <w:tblCellMar>
          <w:top w:w="0" w:type="dxa"/>
          <w:left w:w="108" w:type="dxa"/>
          <w:bottom w:w="0" w:type="dxa"/>
          <w:right w:w="108" w:type="dxa"/>
        </w:tblCellMar>
      </w:tblPr>
      <w:tblGrid>
        <w:gridCol w:w="833"/>
        <w:gridCol w:w="1701"/>
        <w:gridCol w:w="709"/>
        <w:gridCol w:w="708"/>
        <w:gridCol w:w="709"/>
        <w:gridCol w:w="6237"/>
        <w:gridCol w:w="1559"/>
        <w:gridCol w:w="1466"/>
      </w:tblGrid>
      <w:tr>
        <w:tblPrEx>
          <w:tblCellMar>
            <w:top w:w="0" w:type="dxa"/>
            <w:left w:w="108" w:type="dxa"/>
            <w:bottom w:w="0" w:type="dxa"/>
            <w:right w:w="108" w:type="dxa"/>
          </w:tblCellMar>
        </w:tblPrEx>
        <w:trPr>
          <w:trHeight w:val="398" w:hRule="atLeast"/>
          <w:jc w:val="center"/>
        </w:trPr>
        <w:tc>
          <w:tcPr>
            <w:tcW w:w="13922" w:type="dxa"/>
            <w:gridSpan w:val="8"/>
            <w:tcBorders>
              <w:top w:val="nil"/>
              <w:left w:val="nil"/>
              <w:bottom w:val="nil"/>
              <w:right w:val="nil"/>
            </w:tcBorders>
            <w:shd w:val="clear" w:color="auto" w:fill="auto"/>
            <w:noWrap/>
            <w:vAlign w:val="center"/>
          </w:tcPr>
          <w:p>
            <w:pPr>
              <w:widowControl/>
              <w:spacing w:line="360" w:lineRule="exact"/>
              <w:jc w:val="left"/>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单位：九江石化</w:t>
            </w:r>
          </w:p>
        </w:tc>
      </w:tr>
      <w:tr>
        <w:tblPrEx>
          <w:tblCellMar>
            <w:top w:w="0" w:type="dxa"/>
            <w:left w:w="108" w:type="dxa"/>
            <w:bottom w:w="0" w:type="dxa"/>
            <w:right w:w="108" w:type="dxa"/>
          </w:tblCellMar>
        </w:tblPrEx>
        <w:trPr>
          <w:trHeight w:val="600"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序号</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招聘岗位名称</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招聘</w:t>
            </w:r>
          </w:p>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人数</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工作</w:t>
            </w:r>
          </w:p>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地点</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学历</w:t>
            </w:r>
          </w:p>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要求</w:t>
            </w:r>
          </w:p>
        </w:tc>
        <w:tc>
          <w:tcPr>
            <w:tcW w:w="6237"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专业要求</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外语水平要求</w:t>
            </w:r>
          </w:p>
        </w:tc>
        <w:tc>
          <w:tcPr>
            <w:tcW w:w="1466"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ascii="Times New Roman" w:hAnsi="Times New Roman" w:eastAsia="黑体" w:cs="Times New Roman"/>
                <w:b/>
                <w:kern w:val="0"/>
                <w:sz w:val="20"/>
                <w:szCs w:val="20"/>
              </w:rPr>
            </w:pPr>
            <w:r>
              <w:rPr>
                <w:rFonts w:ascii="Times New Roman" w:hAnsi="Times New Roman" w:eastAsia="黑体" w:cs="Times New Roman"/>
                <w:b/>
                <w:kern w:val="0"/>
                <w:sz w:val="20"/>
                <w:szCs w:val="20"/>
              </w:rPr>
              <w:t>其他要求</w:t>
            </w:r>
          </w:p>
        </w:tc>
      </w:tr>
      <w:tr>
        <w:tblPrEx>
          <w:tblCellMar>
            <w:top w:w="0" w:type="dxa"/>
            <w:left w:w="108" w:type="dxa"/>
            <w:bottom w:w="0" w:type="dxa"/>
            <w:right w:w="108" w:type="dxa"/>
          </w:tblCellMar>
        </w:tblPrEx>
        <w:trPr>
          <w:trHeight w:val="553" w:hRule="atLeast"/>
          <w:jc w:val="center"/>
        </w:trPr>
        <w:tc>
          <w:tcPr>
            <w:tcW w:w="253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合计</w:t>
            </w:r>
          </w:p>
        </w:tc>
        <w:tc>
          <w:tcPr>
            <w:tcW w:w="70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Times New Roman" w:hAnsi="Times New Roman" w:eastAsia="宋体" w:cs="Times New Roman"/>
                <w:b/>
                <w:kern w:val="0"/>
                <w:sz w:val="24"/>
                <w:szCs w:val="24"/>
              </w:rPr>
            </w:pPr>
            <w:r>
              <w:rPr>
                <w:rFonts w:hint="eastAsia" w:ascii="Times New Roman" w:hAnsi="Times New Roman" w:eastAsia="仿宋_GB2312" w:cs="Times New Roman"/>
                <w:b/>
                <w:bCs/>
                <w:kern w:val="0"/>
                <w:sz w:val="24"/>
                <w:szCs w:val="24"/>
              </w:rPr>
              <w:t>120</w:t>
            </w:r>
          </w:p>
        </w:tc>
        <w:tc>
          <w:tcPr>
            <w:tcW w:w="10679"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Times New Roman" w:hAnsi="Times New Roman" w:eastAsia="宋体" w:cs="Times New Roman"/>
                <w:b/>
                <w:bCs/>
                <w:kern w:val="0"/>
                <w:sz w:val="24"/>
                <w:szCs w:val="24"/>
              </w:rPr>
            </w:pPr>
          </w:p>
        </w:tc>
      </w:tr>
      <w:tr>
        <w:tblPrEx>
          <w:tblCellMar>
            <w:top w:w="0" w:type="dxa"/>
            <w:left w:w="108" w:type="dxa"/>
            <w:bottom w:w="0" w:type="dxa"/>
            <w:right w:w="108" w:type="dxa"/>
          </w:tblCellMar>
        </w:tblPrEx>
        <w:trPr>
          <w:trHeight w:val="1699" w:hRule="atLeast"/>
          <w:jc w:val="center"/>
        </w:trPr>
        <w:tc>
          <w:tcPr>
            <w:tcW w:w="833"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1</w:t>
            </w:r>
          </w:p>
        </w:tc>
        <w:tc>
          <w:tcPr>
            <w:tcW w:w="170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炼化技术储备岗（硕研）</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40</w:t>
            </w:r>
          </w:p>
        </w:tc>
        <w:tc>
          <w:tcPr>
            <w:tcW w:w="70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江西</w:t>
            </w:r>
          </w:p>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九江</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硕研</w:t>
            </w:r>
          </w:p>
        </w:tc>
        <w:tc>
          <w:tcPr>
            <w:tcW w:w="6237" w:type="dxa"/>
            <w:tcBorders>
              <w:top w:val="nil"/>
              <w:left w:val="nil"/>
              <w:bottom w:val="single" w:color="auto" w:sz="4" w:space="0"/>
              <w:right w:val="single" w:color="auto" w:sz="4" w:space="0"/>
            </w:tcBorders>
            <w:shd w:val="clear" w:color="auto" w:fill="auto"/>
            <w:vAlign w:val="center"/>
          </w:tcPr>
          <w:p>
            <w:pPr>
              <w:widowControl/>
              <w:spacing w:line="240" w:lineRule="exact"/>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1.化学工程与技术、化学工程与工艺、化学工程、化学工艺、精细化工、工业催化；高分子化学与物理、高分子材料与工程、材料工程、材料加工工程、材料科学与工程、材料物理与化学、材料与化工、化学、应用化学；资源与环境等相关专业。</w:t>
            </w:r>
          </w:p>
          <w:p>
            <w:pPr>
              <w:widowControl/>
              <w:spacing w:line="240" w:lineRule="exact"/>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2.机械、机械工程、动力工程及工程热物理、能源动力；控制工程、控制科学与工程、仪器科学与技术等相关专业。</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exact"/>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英语六级（CET-6）425分及以上或相当水平。</w:t>
            </w:r>
          </w:p>
        </w:tc>
        <w:tc>
          <w:tcPr>
            <w:tcW w:w="1466" w:type="dxa"/>
            <w:tcBorders>
              <w:top w:val="nil"/>
              <w:left w:val="nil"/>
              <w:bottom w:val="single" w:color="auto" w:sz="4" w:space="0"/>
              <w:right w:val="single" w:color="auto" w:sz="4" w:space="0"/>
            </w:tcBorders>
            <w:shd w:val="clear" w:color="auto" w:fill="auto"/>
            <w:vAlign w:val="center"/>
          </w:tcPr>
          <w:p>
            <w:pPr>
              <w:widowControl/>
              <w:spacing w:line="240" w:lineRule="exact"/>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身心健康，无职业禁忌；能适应连续性生产，服从工作分配。</w:t>
            </w:r>
          </w:p>
        </w:tc>
      </w:tr>
      <w:tr>
        <w:tblPrEx>
          <w:tblCellMar>
            <w:top w:w="0" w:type="dxa"/>
            <w:left w:w="108" w:type="dxa"/>
            <w:bottom w:w="0" w:type="dxa"/>
            <w:right w:w="108" w:type="dxa"/>
          </w:tblCellMar>
        </w:tblPrEx>
        <w:trPr>
          <w:trHeight w:val="2956"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2</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炼化技术储备岗（本科）</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50</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江西</w:t>
            </w:r>
          </w:p>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九江</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本科</w:t>
            </w:r>
          </w:p>
        </w:tc>
        <w:tc>
          <w:tcPr>
            <w:tcW w:w="623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1.化学工程与工艺、精细化工、化学、应用化学、油气储运工程、材料科学与工程、材料物理、材料化学、无机非金属材料工程、高分子材料与工程、高分子化学与物理；能源化工工程、能源与动力工程、热能与动力工程、热能工程、工程热物理、能源动力等相关专业。</w:t>
            </w:r>
          </w:p>
          <w:p>
            <w:pPr>
              <w:widowControl/>
              <w:spacing w:line="240" w:lineRule="exact"/>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2.过程装备与控制工程、机械设计制造及其自动化、机械工程、机械设计及理论、化工过程机械、动力机械及工程、流体机械及工程、机械电子工程、材料成型及控制工程、材料成型及控制工程等机械设备相关专业。</w:t>
            </w:r>
          </w:p>
          <w:p>
            <w:pPr>
              <w:widowControl/>
              <w:spacing w:line="240" w:lineRule="exact"/>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3.测控技术与仪器、控制理论与控制工程、自动化、电子信息工程、电子信息科学与技术、电气工程及其自动化等相关专业。</w:t>
            </w:r>
          </w:p>
          <w:p>
            <w:pPr>
              <w:widowControl/>
              <w:spacing w:line="240" w:lineRule="exact"/>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4.安全工程、化工安全工程；环境工程、给排水科学与工程；土木工程、测绘工程、工程管理；消防工程、消防指挥、应急管理、火灾勘察、抢险救援指挥与技术等相关专业。</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英语四级（CET-4）425分及以上或相当水平。</w:t>
            </w:r>
          </w:p>
        </w:tc>
        <w:tc>
          <w:tcPr>
            <w:tcW w:w="146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身心健康，无职业禁忌；能适应连续性生产，服从工作分配。</w:t>
            </w:r>
          </w:p>
        </w:tc>
      </w:tr>
      <w:tr>
        <w:tblPrEx>
          <w:tblCellMar>
            <w:top w:w="0" w:type="dxa"/>
            <w:left w:w="108" w:type="dxa"/>
            <w:bottom w:w="0" w:type="dxa"/>
            <w:right w:w="108" w:type="dxa"/>
          </w:tblCellMar>
        </w:tblPrEx>
        <w:trPr>
          <w:trHeight w:val="2120" w:hRule="atLeast"/>
          <w:jc w:val="center"/>
        </w:trPr>
        <w:tc>
          <w:tcPr>
            <w:tcW w:w="8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3</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炼化操作岗</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30</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江西</w:t>
            </w:r>
          </w:p>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九江</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大专</w:t>
            </w:r>
          </w:p>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高职</w:t>
            </w:r>
          </w:p>
        </w:tc>
        <w:tc>
          <w:tcPr>
            <w:tcW w:w="623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ascii="Times New Roman" w:hAnsi="Times New Roman" w:eastAsia="仿宋_GB2312" w:cs="Times New Roman"/>
                <w:b/>
                <w:kern w:val="0"/>
                <w:sz w:val="18"/>
                <w:szCs w:val="18"/>
              </w:rPr>
            </w:pPr>
            <w:r>
              <w:rPr>
                <w:rFonts w:hint="eastAsia" w:ascii="Times New Roman" w:hAnsi="Times New Roman" w:eastAsia="仿宋_GB2312" w:cs="Times New Roman"/>
                <w:b/>
                <w:kern w:val="0"/>
                <w:sz w:val="18"/>
                <w:szCs w:val="18"/>
              </w:rPr>
              <w:t>石油化工技术、石油炼制技术、石油工程、应用化工技术、精细化工技术、煤化工技术、分析检验技术、高分子合成技术、化工装备技术、化工自动化技术；热能动力工程技术；机械设计与制造、机械制造及自动化、材料成型与控制技术、机械装备制造技术；机电一体化技术、工业过程自动化技术、工业自动化仪表技术；油气储运技术；安全技术与管理、化工安全技术；环境工程技术、环境监测与控制技术；发电厂及电力系统、电气自动化技术；自动化生产设备应用、高分子合成技术、化纤生产技术、材料工程技术、高分子材料工程技术、高分子材料加工技术等相关专业。</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w:t>
            </w:r>
          </w:p>
        </w:tc>
        <w:tc>
          <w:tcPr>
            <w:tcW w:w="146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身心健康，无职业禁忌；能适应连续性生产，服从工作分配。</w:t>
            </w:r>
          </w:p>
        </w:tc>
      </w:tr>
    </w:tbl>
    <w:p>
      <w:pPr>
        <w:widowControl/>
        <w:tabs>
          <w:tab w:val="left" w:pos="921"/>
        </w:tabs>
        <w:spacing w:line="560" w:lineRule="exact"/>
        <w:ind w:firstLine="602" w:firstLineChars="200"/>
        <w:rPr>
          <w:rFonts w:ascii="Times New Roman" w:hAnsi="Times New Roman" w:cs="Times New Roman"/>
          <w:b/>
          <w:bCs/>
          <w:color w:val="000000" w:themeColor="text1"/>
          <w:kern w:val="0"/>
          <w:sz w:val="30"/>
          <w:szCs w:val="30"/>
          <w14:textFill>
            <w14:solidFill>
              <w14:schemeClr w14:val="tx1"/>
            </w14:solidFill>
          </w14:textFill>
        </w:rPr>
        <w:sectPr>
          <w:pgSz w:w="16838" w:h="11906" w:orient="landscape"/>
          <w:pgMar w:top="1134" w:right="1440" w:bottom="1134" w:left="1440" w:header="851" w:footer="992" w:gutter="0"/>
          <w:cols w:space="425" w:num="1"/>
          <w:docGrid w:linePitch="312" w:charSpace="0"/>
        </w:sectPr>
      </w:pPr>
    </w:p>
    <w:p>
      <w:pPr>
        <w:widowControl/>
        <w:spacing w:line="560" w:lineRule="exact"/>
        <w:ind w:firstLine="602" w:firstLineChars="200"/>
        <w:rPr>
          <w:rFonts w:hint="eastAsia" w:ascii="Times New Roman" w:hAnsi="Times New Roman" w:eastAsia="黑体" w:cs="Times New Roman"/>
          <w:b/>
          <w:color w:val="000000" w:themeColor="text1"/>
          <w:kern w:val="0"/>
          <w:sz w:val="30"/>
          <w:szCs w:val="30"/>
          <w14:textFill>
            <w14:solidFill>
              <w14:schemeClr w14:val="tx1"/>
            </w14:solidFill>
          </w14:textFill>
        </w:rPr>
      </w:pPr>
      <w:r>
        <w:rPr>
          <w:rFonts w:hint="eastAsia" w:ascii="Times New Roman" w:hAnsi="Times New Roman" w:eastAsia="黑体" w:cs="Times New Roman"/>
          <w:b/>
          <w:color w:val="000000" w:themeColor="text1"/>
          <w:kern w:val="0"/>
          <w:sz w:val="30"/>
          <w:szCs w:val="30"/>
          <w14:textFill>
            <w14:solidFill>
              <w14:schemeClr w14:val="tx1"/>
            </w14:solidFill>
          </w14:textFill>
        </w:rPr>
        <w:t>六、招聘流程</w:t>
      </w:r>
    </w:p>
    <w:p>
      <w:pPr>
        <w:widowControl/>
        <w:spacing w:line="560" w:lineRule="exact"/>
        <w:ind w:firstLine="602" w:firstLineChars="200"/>
        <w:rPr>
          <w:rFonts w:hint="eastAsia" w:ascii="Times New Roman" w:hAnsi="Times New Roman" w:eastAsia="黑体" w:cs="Times New Roman"/>
          <w:b/>
          <w:color w:val="000000" w:themeColor="text1"/>
          <w:kern w:val="0"/>
          <w:sz w:val="30"/>
          <w:szCs w:val="30"/>
          <w14:textFill>
            <w14:solidFill>
              <w14:schemeClr w14:val="tx1"/>
            </w14:solidFill>
          </w14:textFill>
        </w:rPr>
      </w:pPr>
      <w:r>
        <w:rPr>
          <w:rFonts w:hint="eastAsia" w:ascii="Times New Roman" w:hAnsi="Times New Roman" w:eastAsia="仿宋_GB2312" w:cs="Times New Roman"/>
          <w:b/>
          <w:color w:val="000000" w:themeColor="text1"/>
          <w:kern w:val="0"/>
          <w:sz w:val="30"/>
          <w:szCs w:val="30"/>
          <w14:textFill>
            <w14:solidFill>
              <w14:schemeClr w14:val="tx1"/>
            </w14:solidFill>
          </w14:textFill>
        </w:rPr>
        <w:t>网上报名（截止时间：5</w:t>
      </w:r>
      <w:r>
        <w:rPr>
          <w:rFonts w:ascii="Times New Roman" w:hAnsi="Times New Roman" w:eastAsia="仿宋_GB2312" w:cs="Times New Roman"/>
          <w:b/>
          <w:color w:val="000000" w:themeColor="text1"/>
          <w:kern w:val="0"/>
          <w:sz w:val="30"/>
          <w:szCs w:val="30"/>
          <w14:textFill>
            <w14:solidFill>
              <w14:schemeClr w14:val="tx1"/>
            </w14:solidFill>
          </w14:textFill>
        </w:rPr>
        <w:t>月</w:t>
      </w:r>
      <w:r>
        <w:rPr>
          <w:rFonts w:hint="eastAsia" w:ascii="Times New Roman" w:hAnsi="Times New Roman" w:eastAsia="仿宋_GB2312" w:cs="Times New Roman"/>
          <w:b/>
          <w:color w:val="000000" w:themeColor="text1"/>
          <w:kern w:val="0"/>
          <w:sz w:val="30"/>
          <w:szCs w:val="30"/>
          <w14:textFill>
            <w14:solidFill>
              <w14:schemeClr w14:val="tx1"/>
            </w14:solidFill>
          </w14:textFill>
        </w:rPr>
        <w:t>14</w:t>
      </w:r>
      <w:r>
        <w:rPr>
          <w:rFonts w:ascii="Times New Roman" w:hAnsi="Times New Roman" w:eastAsia="仿宋_GB2312" w:cs="Times New Roman"/>
          <w:b/>
          <w:color w:val="000000" w:themeColor="text1"/>
          <w:kern w:val="0"/>
          <w:sz w:val="30"/>
          <w:szCs w:val="30"/>
          <w14:textFill>
            <w14:solidFill>
              <w14:schemeClr w14:val="tx1"/>
            </w14:solidFill>
          </w14:textFill>
        </w:rPr>
        <w:t>日</w:t>
      </w:r>
      <w:r>
        <w:rPr>
          <w:rFonts w:hint="eastAsia" w:ascii="Times New Roman" w:hAnsi="Times New Roman" w:eastAsia="仿宋_GB2312" w:cs="Times New Roman"/>
          <w:b/>
          <w:color w:val="000000" w:themeColor="text1"/>
          <w:kern w:val="0"/>
          <w:sz w:val="30"/>
          <w:szCs w:val="30"/>
          <w14:textFill>
            <w14:solidFill>
              <w14:schemeClr w14:val="tx1"/>
            </w14:solidFill>
          </w14:textFill>
        </w:rPr>
        <w:t>24:00）、资格审查、统一初选考试（5</w:t>
      </w:r>
      <w:r>
        <w:rPr>
          <w:rFonts w:ascii="Times New Roman" w:hAnsi="Times New Roman" w:eastAsia="仿宋_GB2312" w:cs="Times New Roman"/>
          <w:b/>
          <w:color w:val="000000" w:themeColor="text1"/>
          <w:kern w:val="0"/>
          <w:sz w:val="30"/>
          <w:szCs w:val="30"/>
          <w14:textFill>
            <w14:solidFill>
              <w14:schemeClr w14:val="tx1"/>
            </w14:solidFill>
          </w14:textFill>
        </w:rPr>
        <w:t>月</w:t>
      </w:r>
      <w:r>
        <w:rPr>
          <w:rFonts w:hint="eastAsia" w:ascii="Times New Roman" w:hAnsi="Times New Roman" w:eastAsia="仿宋_GB2312" w:cs="Times New Roman"/>
          <w:b/>
          <w:color w:val="000000" w:themeColor="text1"/>
          <w:kern w:val="0"/>
          <w:sz w:val="30"/>
          <w:szCs w:val="30"/>
          <w14:textFill>
            <w14:solidFill>
              <w14:schemeClr w14:val="tx1"/>
            </w14:solidFill>
          </w14:textFill>
        </w:rPr>
        <w:t>18</w:t>
      </w:r>
      <w:r>
        <w:rPr>
          <w:rFonts w:ascii="Times New Roman" w:hAnsi="Times New Roman" w:eastAsia="仿宋_GB2312" w:cs="Times New Roman"/>
          <w:b/>
          <w:color w:val="000000" w:themeColor="text1"/>
          <w:kern w:val="0"/>
          <w:sz w:val="30"/>
          <w:szCs w:val="30"/>
          <w14:textFill>
            <w14:solidFill>
              <w14:schemeClr w14:val="tx1"/>
            </w14:solidFill>
          </w14:textFill>
        </w:rPr>
        <w:t>日15:00-16:35</w:t>
      </w:r>
      <w:r>
        <w:rPr>
          <w:rFonts w:hint="eastAsia" w:ascii="Times New Roman" w:hAnsi="Times New Roman" w:eastAsia="仿宋_GB2312" w:cs="Times New Roman"/>
          <w:b/>
          <w:color w:val="000000" w:themeColor="text1"/>
          <w:kern w:val="0"/>
          <w:sz w:val="30"/>
          <w:szCs w:val="30"/>
          <w14:textFill>
            <w14:solidFill>
              <w14:schemeClr w14:val="tx1"/>
            </w14:solidFill>
          </w14:textFill>
        </w:rPr>
        <w:t>）、</w:t>
      </w:r>
      <w:r>
        <w:rPr>
          <w:rFonts w:ascii="Times New Roman" w:hAnsi="Times New Roman" w:eastAsia="仿宋_GB2312" w:cs="Times New Roman"/>
          <w:b/>
          <w:color w:val="000000" w:themeColor="text1"/>
          <w:kern w:val="0"/>
          <w:sz w:val="30"/>
          <w:szCs w:val="30"/>
          <w14:textFill>
            <w14:solidFill>
              <w14:schemeClr w14:val="tx1"/>
            </w14:solidFill>
          </w14:textFill>
        </w:rPr>
        <w:t>测试面试、人选公示（</w:t>
      </w:r>
      <w:r>
        <w:rPr>
          <w:rFonts w:hint="eastAsia" w:ascii="Times New Roman" w:hAnsi="Times New Roman" w:eastAsia="仿宋_GB2312" w:cs="Times New Roman"/>
          <w:b/>
          <w:color w:val="000000" w:themeColor="text1"/>
          <w:kern w:val="0"/>
          <w:sz w:val="30"/>
          <w:szCs w:val="30"/>
          <w14:textFill>
            <w14:solidFill>
              <w14:schemeClr w14:val="tx1"/>
            </w14:solidFill>
          </w14:textFill>
        </w:rPr>
        <w:t>6月5日前</w:t>
      </w:r>
      <w:r>
        <w:rPr>
          <w:rFonts w:ascii="Times New Roman" w:hAnsi="Times New Roman" w:eastAsia="仿宋_GB2312" w:cs="Times New Roman"/>
          <w:b/>
          <w:color w:val="000000" w:themeColor="text1"/>
          <w:kern w:val="0"/>
          <w:sz w:val="30"/>
          <w:szCs w:val="30"/>
          <w14:textFill>
            <w14:solidFill>
              <w14:schemeClr w14:val="tx1"/>
            </w14:solidFill>
          </w14:textFill>
        </w:rPr>
        <w:t>）、签约录用。</w:t>
      </w:r>
    </w:p>
    <w:p>
      <w:pPr>
        <w:widowControl/>
        <w:spacing w:line="560" w:lineRule="exact"/>
        <w:ind w:firstLine="60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color w:val="000000" w:themeColor="text1"/>
          <w:kern w:val="0"/>
          <w:sz w:val="30"/>
          <w:szCs w:val="30"/>
          <w14:textFill>
            <w14:solidFill>
              <w14:schemeClr w14:val="tx1"/>
            </w14:solidFill>
          </w14:textFill>
        </w:rPr>
        <w:t>详见中国石化人才招聘网站（</w:t>
      </w:r>
      <w:r>
        <w:fldChar w:fldCharType="begin"/>
      </w:r>
      <w:r>
        <w:instrText xml:space="preserve"> HYPERLINK "http://job.sinopec.com" </w:instrText>
      </w:r>
      <w:r>
        <w:fldChar w:fldCharType="separate"/>
      </w:r>
      <w:r>
        <w:rPr>
          <w:b/>
          <w:color w:val="000000" w:themeColor="text1"/>
          <w:kern w:val="0"/>
          <w:sz w:val="30"/>
          <w:szCs w:val="30"/>
          <w14:textFill>
            <w14:solidFill>
              <w14:schemeClr w14:val="tx1"/>
            </w14:solidFill>
          </w14:textFill>
        </w:rPr>
        <w:t>http://job.sinopec.com</w:t>
      </w:r>
      <w:r>
        <w:rPr>
          <w:b/>
          <w:color w:val="000000" w:themeColor="text1"/>
          <w:kern w:val="0"/>
          <w:sz w:val="30"/>
          <w:szCs w:val="30"/>
          <w14:textFill>
            <w14:solidFill>
              <w14:schemeClr w14:val="tx1"/>
            </w14:solidFill>
          </w14:textFill>
        </w:rPr>
        <w:fldChar w:fldCharType="end"/>
      </w:r>
      <w:r>
        <w:rPr>
          <w:rFonts w:hint="eastAsia" w:ascii="Times New Roman" w:hAnsi="Times New Roman" w:eastAsia="仿宋_GB2312" w:cs="Times New Roman"/>
          <w:b/>
          <w:color w:val="000000" w:themeColor="text1"/>
          <w:kern w:val="0"/>
          <w:sz w:val="30"/>
          <w:szCs w:val="30"/>
          <w14:textFill>
            <w14:solidFill>
              <w14:schemeClr w14:val="tx1"/>
            </w14:solidFill>
          </w14:textFill>
        </w:rPr>
        <w:t>）</w:t>
      </w:r>
    </w:p>
    <w:p>
      <w:pPr>
        <w:widowControl/>
        <w:spacing w:line="560" w:lineRule="exact"/>
        <w:ind w:firstLine="602" w:firstLineChars="200"/>
        <w:rPr>
          <w:rFonts w:ascii="Times New Roman" w:hAnsi="Times New Roman" w:eastAsia="黑体" w:cs="Times New Roman"/>
          <w:b/>
          <w:color w:val="000000" w:themeColor="text1"/>
          <w:kern w:val="0"/>
          <w:sz w:val="30"/>
          <w:szCs w:val="30"/>
          <w14:textFill>
            <w14:solidFill>
              <w14:schemeClr w14:val="tx1"/>
            </w14:solidFill>
          </w14:textFill>
        </w:rPr>
      </w:pPr>
      <w:r>
        <w:rPr>
          <w:rFonts w:hint="eastAsia" w:ascii="Times New Roman" w:hAnsi="Times New Roman" w:eastAsia="黑体" w:cs="Times New Roman"/>
          <w:b/>
          <w:color w:val="000000" w:themeColor="text1"/>
          <w:kern w:val="0"/>
          <w:sz w:val="30"/>
          <w:szCs w:val="30"/>
          <w14:textFill>
            <w14:solidFill>
              <w14:schemeClr w14:val="tx1"/>
            </w14:solidFill>
          </w14:textFill>
        </w:rPr>
        <w:t>七</w:t>
      </w:r>
      <w:r>
        <w:rPr>
          <w:rFonts w:ascii="Times New Roman" w:hAnsi="Times New Roman" w:eastAsia="黑体" w:cs="Times New Roman"/>
          <w:b/>
          <w:color w:val="000000" w:themeColor="text1"/>
          <w:kern w:val="0"/>
          <w:sz w:val="30"/>
          <w:szCs w:val="30"/>
          <w14:textFill>
            <w14:solidFill>
              <w14:schemeClr w14:val="tx1"/>
            </w14:solidFill>
          </w14:textFill>
        </w:rPr>
        <w:t>、联系方式</w:t>
      </w:r>
    </w:p>
    <w:p>
      <w:pPr>
        <w:widowControl/>
        <w:spacing w:line="560" w:lineRule="exact"/>
        <w:ind w:firstLine="602" w:firstLineChars="200"/>
        <w:rPr>
          <w:rFonts w:ascii="Times New Roman" w:hAnsi="Times New Roman" w:eastAsia="仿宋_GB2312" w:cs="Times New Roman"/>
          <w:b/>
          <w:color w:val="000000" w:themeColor="text1"/>
          <w:kern w:val="0"/>
          <w:sz w:val="30"/>
          <w:szCs w:val="30"/>
          <w14:textFill>
            <w14:solidFill>
              <w14:schemeClr w14:val="tx1"/>
            </w14:solidFill>
          </w14:textFill>
        </w:rPr>
      </w:pPr>
      <w:r>
        <w:rPr>
          <w:rFonts w:ascii="Times New Roman" w:hAnsi="Times New Roman" w:eastAsia="仿宋_GB2312" w:cs="Times New Roman"/>
          <w:b/>
          <w:color w:val="000000" w:themeColor="text1"/>
          <w:kern w:val="0"/>
          <w:sz w:val="30"/>
          <w:szCs w:val="30"/>
          <w14:textFill>
            <w14:solidFill>
              <w14:schemeClr w14:val="tx1"/>
            </w14:solidFill>
          </w14:textFill>
        </w:rPr>
        <w:t>单位地址：江西省九江市浔阳区滨江东路230号</w:t>
      </w:r>
    </w:p>
    <w:p>
      <w:pPr>
        <w:widowControl/>
        <w:spacing w:line="560" w:lineRule="exact"/>
        <w:ind w:firstLine="602" w:firstLineChars="200"/>
        <w:rPr>
          <w:rFonts w:ascii="Times New Roman" w:hAnsi="Times New Roman" w:eastAsia="仿宋_GB2312" w:cs="Times New Roman"/>
          <w:b/>
          <w:color w:val="000000" w:themeColor="text1"/>
          <w:kern w:val="0"/>
          <w:sz w:val="30"/>
          <w:szCs w:val="30"/>
          <w14:textFill>
            <w14:solidFill>
              <w14:schemeClr w14:val="tx1"/>
            </w14:solidFill>
          </w14:textFill>
        </w:rPr>
      </w:pPr>
      <w:r>
        <w:rPr>
          <w:rFonts w:ascii="Times New Roman" w:hAnsi="Times New Roman" w:eastAsia="仿宋_GB2312" w:cs="Times New Roman"/>
          <w:b/>
          <w:color w:val="000000" w:themeColor="text1"/>
          <w:kern w:val="0"/>
          <w:sz w:val="30"/>
          <w:szCs w:val="30"/>
          <w14:textFill>
            <w14:solidFill>
              <w14:schemeClr w14:val="tx1"/>
            </w14:solidFill>
          </w14:textFill>
        </w:rPr>
        <w:t>邮    编：332004</w:t>
      </w:r>
    </w:p>
    <w:p>
      <w:pPr>
        <w:widowControl/>
        <w:spacing w:line="560" w:lineRule="exact"/>
        <w:ind w:firstLine="602" w:firstLineChars="200"/>
        <w:rPr>
          <w:rFonts w:ascii="Times New Roman" w:hAnsi="Times New Roman" w:eastAsia="仿宋_GB2312" w:cs="Times New Roman"/>
          <w:b/>
          <w:color w:val="000000" w:themeColor="text1"/>
          <w:kern w:val="0"/>
          <w:sz w:val="30"/>
          <w:szCs w:val="30"/>
          <w14:textFill>
            <w14:solidFill>
              <w14:schemeClr w14:val="tx1"/>
            </w14:solidFill>
          </w14:textFill>
        </w:rPr>
      </w:pPr>
      <w:r>
        <w:rPr>
          <w:rFonts w:ascii="Times New Roman" w:hAnsi="Times New Roman" w:eastAsia="仿宋_GB2312" w:cs="Times New Roman"/>
          <w:b/>
          <w:color w:val="000000" w:themeColor="text1"/>
          <w:kern w:val="0"/>
          <w:sz w:val="30"/>
          <w:szCs w:val="30"/>
          <w14:textFill>
            <w14:solidFill>
              <w14:schemeClr w14:val="tx1"/>
            </w14:solidFill>
          </w14:textFill>
        </w:rPr>
        <w:t>联系部门：中国石油化工股份有限公司九江分公司党委组织部（人力资源部）</w:t>
      </w:r>
    </w:p>
    <w:p>
      <w:pPr>
        <w:spacing w:line="560" w:lineRule="exact"/>
        <w:ind w:firstLine="602" w:firstLineChars="200"/>
        <w:rPr>
          <w:rFonts w:ascii="Times New Roman" w:hAnsi="Times New Roman" w:eastAsia="仿宋_GB2312" w:cs="Times New Roman"/>
          <w:b/>
          <w:color w:val="000000" w:themeColor="text1"/>
          <w:kern w:val="0"/>
          <w:sz w:val="30"/>
          <w:szCs w:val="30"/>
          <w14:textFill>
            <w14:solidFill>
              <w14:schemeClr w14:val="tx1"/>
            </w14:solidFill>
          </w14:textFill>
        </w:rPr>
      </w:pPr>
      <w:r>
        <w:rPr>
          <w:rFonts w:ascii="Times New Roman" w:hAnsi="Times New Roman" w:eastAsia="仿宋_GB2312" w:cs="Times New Roman"/>
          <w:b/>
          <w:color w:val="000000" w:themeColor="text1"/>
          <w:kern w:val="0"/>
          <w:sz w:val="30"/>
          <w:szCs w:val="30"/>
          <w14:textFill>
            <w14:solidFill>
              <w14:schemeClr w14:val="tx1"/>
            </w14:solidFill>
          </w14:textFill>
        </w:rPr>
        <w:t>邮    箱：rckfk.jjsh@sinopec.com</w:t>
      </w:r>
    </w:p>
    <w:p>
      <w:pPr>
        <w:spacing w:line="560" w:lineRule="exact"/>
        <w:ind w:firstLine="602" w:firstLineChars="200"/>
        <w:rPr>
          <w:rFonts w:ascii="Times New Roman" w:hAnsi="Times New Roman" w:eastAsia="仿宋_GB2312" w:cs="Times New Roman"/>
          <w:b/>
          <w:color w:val="000000" w:themeColor="text1"/>
          <w:kern w:val="0"/>
          <w:sz w:val="30"/>
          <w:szCs w:val="30"/>
          <w14:textFill>
            <w14:solidFill>
              <w14:schemeClr w14:val="tx1"/>
            </w14:solidFill>
          </w14:textFill>
        </w:rPr>
      </w:pPr>
      <w:r>
        <w:rPr>
          <w:rFonts w:ascii="Times New Roman" w:hAnsi="Times New Roman" w:eastAsia="仿宋_GB2312" w:cs="Times New Roman"/>
          <w:b/>
          <w:color w:val="000000" w:themeColor="text1"/>
          <w:kern w:val="0"/>
          <w:sz w:val="30"/>
          <w:szCs w:val="30"/>
          <w14:textFill>
            <w14:solidFill>
              <w14:schemeClr w14:val="tx1"/>
            </w14:solidFill>
          </w14:textFill>
        </w:rPr>
        <w:drawing>
          <wp:anchor distT="0" distB="0" distL="114300" distR="114300" simplePos="0" relativeHeight="251660288" behindDoc="0" locked="0" layoutInCell="1" allowOverlap="1">
            <wp:simplePos x="0" y="0"/>
            <wp:positionH relativeFrom="column">
              <wp:posOffset>1607185</wp:posOffset>
            </wp:positionH>
            <wp:positionV relativeFrom="paragraph">
              <wp:posOffset>488315</wp:posOffset>
            </wp:positionV>
            <wp:extent cx="2783205" cy="3306445"/>
            <wp:effectExtent l="0" t="0" r="0" b="8255"/>
            <wp:wrapSquare wrapText="bothSides"/>
            <wp:docPr id="3" name="图片 3" descr="C:\Users\jjsh5\AppData\Roaming\DingTalk\103278107_v2\resource_cache\b7\b7fa07ae765a128958b42ff1842a9a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jjsh5\AppData\Roaming\DingTalk\103278107_v2\resource_cache\b7\b7fa07ae765a128958b42ff1842a9ad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783205" cy="3306445"/>
                    </a:xfrm>
                    <a:prstGeom prst="rect">
                      <a:avLst/>
                    </a:prstGeom>
                    <a:noFill/>
                    <a:ln>
                      <a:noFill/>
                    </a:ln>
                  </pic:spPr>
                </pic:pic>
              </a:graphicData>
            </a:graphic>
          </wp:anchor>
        </w:drawing>
      </w:r>
      <w:r>
        <w:rPr>
          <w:rFonts w:ascii="Times New Roman" w:hAnsi="Times New Roman" w:eastAsia="仿宋_GB2312" w:cs="Times New Roman"/>
          <w:b/>
          <w:color w:val="000000" w:themeColor="text1"/>
          <w:kern w:val="0"/>
          <w:sz w:val="30"/>
          <w:szCs w:val="30"/>
          <w14:textFill>
            <w14:solidFill>
              <w14:schemeClr w14:val="tx1"/>
            </w14:solidFill>
          </w14:textFill>
        </w:rPr>
        <w:t>咨</w:t>
      </w:r>
      <w:r>
        <w:rPr>
          <w:rFonts w:hint="eastAsia" w:ascii="Times New Roman" w:hAnsi="Times New Roman" w:eastAsia="仿宋_GB2312" w:cs="Times New Roman"/>
          <w:b/>
          <w:color w:val="000000" w:themeColor="text1"/>
          <w:kern w:val="0"/>
          <w:sz w:val="30"/>
          <w:szCs w:val="30"/>
          <w14:textFill>
            <w14:solidFill>
              <w14:schemeClr w14:val="tx1"/>
            </w14:solidFill>
          </w14:textFill>
        </w:rPr>
        <w:t xml:space="preserve"> </w:t>
      </w:r>
      <w:r>
        <w:rPr>
          <w:rFonts w:ascii="Times New Roman" w:hAnsi="Times New Roman" w:eastAsia="仿宋_GB2312" w:cs="Times New Roman"/>
          <w:b/>
          <w:color w:val="000000" w:themeColor="text1"/>
          <w:kern w:val="0"/>
          <w:sz w:val="30"/>
          <w:szCs w:val="30"/>
          <w14:textFill>
            <w14:solidFill>
              <w14:schemeClr w14:val="tx1"/>
            </w14:solidFill>
          </w14:textFill>
        </w:rPr>
        <w:t>询</w:t>
      </w:r>
      <w:r>
        <w:rPr>
          <w:rFonts w:hint="eastAsia" w:ascii="Times New Roman" w:hAnsi="Times New Roman" w:eastAsia="仿宋_GB2312" w:cs="Times New Roman"/>
          <w:b/>
          <w:color w:val="000000" w:themeColor="text1"/>
          <w:kern w:val="0"/>
          <w:sz w:val="30"/>
          <w:szCs w:val="30"/>
          <w14:textFill>
            <w14:solidFill>
              <w14:schemeClr w14:val="tx1"/>
            </w14:solidFill>
          </w14:textFill>
        </w:rPr>
        <w:t xml:space="preserve"> </w:t>
      </w:r>
      <w:r>
        <w:rPr>
          <w:rFonts w:ascii="Times New Roman" w:hAnsi="Times New Roman" w:eastAsia="仿宋_GB2312" w:cs="Times New Roman"/>
          <w:b/>
          <w:color w:val="000000" w:themeColor="text1"/>
          <w:kern w:val="0"/>
          <w:sz w:val="30"/>
          <w:szCs w:val="30"/>
          <w14:textFill>
            <w14:solidFill>
              <w14:schemeClr w14:val="tx1"/>
            </w14:solidFill>
          </w14:textFill>
        </w:rPr>
        <w:t>群：九江石化2024招聘咨询钉钉群</w:t>
      </w: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 w:name="KSO_WPS_MARK_KEY" w:val="e3351f47-d696-45e4-8cf7-8cafdf747fcf"/>
  </w:docVars>
  <w:rsids>
    <w:rsidRoot w:val="00C1633F"/>
    <w:rsid w:val="00001948"/>
    <w:rsid w:val="00001976"/>
    <w:rsid w:val="0001771F"/>
    <w:rsid w:val="00022466"/>
    <w:rsid w:val="00036E48"/>
    <w:rsid w:val="0008134D"/>
    <w:rsid w:val="000A7E45"/>
    <w:rsid w:val="000B3DE7"/>
    <w:rsid w:val="000C5286"/>
    <w:rsid w:val="000E6985"/>
    <w:rsid w:val="000E7FBB"/>
    <w:rsid w:val="00123960"/>
    <w:rsid w:val="00124793"/>
    <w:rsid w:val="00126BE2"/>
    <w:rsid w:val="00135E18"/>
    <w:rsid w:val="001420EE"/>
    <w:rsid w:val="00147EBD"/>
    <w:rsid w:val="00191421"/>
    <w:rsid w:val="001B4496"/>
    <w:rsid w:val="001C0583"/>
    <w:rsid w:val="001C109B"/>
    <w:rsid w:val="001D5D77"/>
    <w:rsid w:val="001F6531"/>
    <w:rsid w:val="002156A9"/>
    <w:rsid w:val="00225AC6"/>
    <w:rsid w:val="0025029F"/>
    <w:rsid w:val="002539E8"/>
    <w:rsid w:val="00266A56"/>
    <w:rsid w:val="00271FDA"/>
    <w:rsid w:val="00280D02"/>
    <w:rsid w:val="00297372"/>
    <w:rsid w:val="002E352E"/>
    <w:rsid w:val="00302173"/>
    <w:rsid w:val="00311FEB"/>
    <w:rsid w:val="00317561"/>
    <w:rsid w:val="00334562"/>
    <w:rsid w:val="00347BE5"/>
    <w:rsid w:val="0035764E"/>
    <w:rsid w:val="00375423"/>
    <w:rsid w:val="00377861"/>
    <w:rsid w:val="00382936"/>
    <w:rsid w:val="003832B6"/>
    <w:rsid w:val="003A1DDA"/>
    <w:rsid w:val="003A69A2"/>
    <w:rsid w:val="003B72C8"/>
    <w:rsid w:val="003D418B"/>
    <w:rsid w:val="003D4776"/>
    <w:rsid w:val="003E1AB5"/>
    <w:rsid w:val="003F54CA"/>
    <w:rsid w:val="003F7534"/>
    <w:rsid w:val="00417ED4"/>
    <w:rsid w:val="00423825"/>
    <w:rsid w:val="00436167"/>
    <w:rsid w:val="00447CFE"/>
    <w:rsid w:val="0046216E"/>
    <w:rsid w:val="00475614"/>
    <w:rsid w:val="00483D62"/>
    <w:rsid w:val="004B5961"/>
    <w:rsid w:val="004E7052"/>
    <w:rsid w:val="00501C5D"/>
    <w:rsid w:val="005267F8"/>
    <w:rsid w:val="00542D50"/>
    <w:rsid w:val="00546B22"/>
    <w:rsid w:val="00553061"/>
    <w:rsid w:val="00560C30"/>
    <w:rsid w:val="00560DF6"/>
    <w:rsid w:val="00563AAF"/>
    <w:rsid w:val="00563CA7"/>
    <w:rsid w:val="00572EED"/>
    <w:rsid w:val="00584F67"/>
    <w:rsid w:val="00596D70"/>
    <w:rsid w:val="005F287D"/>
    <w:rsid w:val="005F6F09"/>
    <w:rsid w:val="00603B40"/>
    <w:rsid w:val="00616793"/>
    <w:rsid w:val="006175AD"/>
    <w:rsid w:val="00626AF2"/>
    <w:rsid w:val="0062763F"/>
    <w:rsid w:val="00636D8F"/>
    <w:rsid w:val="00644E45"/>
    <w:rsid w:val="0064722A"/>
    <w:rsid w:val="00647991"/>
    <w:rsid w:val="00673B75"/>
    <w:rsid w:val="006975FF"/>
    <w:rsid w:val="006C3E5A"/>
    <w:rsid w:val="006D3735"/>
    <w:rsid w:val="006D6A83"/>
    <w:rsid w:val="006E4FF9"/>
    <w:rsid w:val="00702100"/>
    <w:rsid w:val="00720085"/>
    <w:rsid w:val="00721916"/>
    <w:rsid w:val="00732C10"/>
    <w:rsid w:val="007331B7"/>
    <w:rsid w:val="00740E74"/>
    <w:rsid w:val="007554DC"/>
    <w:rsid w:val="00765A67"/>
    <w:rsid w:val="007721AD"/>
    <w:rsid w:val="00773CA4"/>
    <w:rsid w:val="0077504E"/>
    <w:rsid w:val="007761BA"/>
    <w:rsid w:val="007819C1"/>
    <w:rsid w:val="007A7CAD"/>
    <w:rsid w:val="007C15B9"/>
    <w:rsid w:val="007D5E0A"/>
    <w:rsid w:val="007D5F41"/>
    <w:rsid w:val="007E5BC6"/>
    <w:rsid w:val="007F2E41"/>
    <w:rsid w:val="007F3F47"/>
    <w:rsid w:val="0081011D"/>
    <w:rsid w:val="00815419"/>
    <w:rsid w:val="0084443E"/>
    <w:rsid w:val="00857AB2"/>
    <w:rsid w:val="008A1C87"/>
    <w:rsid w:val="008C751E"/>
    <w:rsid w:val="008E0D44"/>
    <w:rsid w:val="0091274B"/>
    <w:rsid w:val="00915465"/>
    <w:rsid w:val="009460BC"/>
    <w:rsid w:val="00967FD8"/>
    <w:rsid w:val="00977FE3"/>
    <w:rsid w:val="00984294"/>
    <w:rsid w:val="0099204E"/>
    <w:rsid w:val="009C1CC3"/>
    <w:rsid w:val="009D05B5"/>
    <w:rsid w:val="009E17FA"/>
    <w:rsid w:val="009E7267"/>
    <w:rsid w:val="009F3776"/>
    <w:rsid w:val="00A1000A"/>
    <w:rsid w:val="00A34906"/>
    <w:rsid w:val="00A45838"/>
    <w:rsid w:val="00A53C2C"/>
    <w:rsid w:val="00A55CEA"/>
    <w:rsid w:val="00A56522"/>
    <w:rsid w:val="00A569F7"/>
    <w:rsid w:val="00A570DE"/>
    <w:rsid w:val="00A57FBA"/>
    <w:rsid w:val="00A64D55"/>
    <w:rsid w:val="00A778B3"/>
    <w:rsid w:val="00AB5007"/>
    <w:rsid w:val="00AC04C5"/>
    <w:rsid w:val="00AC5404"/>
    <w:rsid w:val="00AE134F"/>
    <w:rsid w:val="00AE6349"/>
    <w:rsid w:val="00B06634"/>
    <w:rsid w:val="00B06DB6"/>
    <w:rsid w:val="00B32A7F"/>
    <w:rsid w:val="00B46F2B"/>
    <w:rsid w:val="00B57980"/>
    <w:rsid w:val="00B63807"/>
    <w:rsid w:val="00B66399"/>
    <w:rsid w:val="00B7759C"/>
    <w:rsid w:val="00B93D8E"/>
    <w:rsid w:val="00BC0A54"/>
    <w:rsid w:val="00BF0E2C"/>
    <w:rsid w:val="00BF6800"/>
    <w:rsid w:val="00C1633F"/>
    <w:rsid w:val="00C274B1"/>
    <w:rsid w:val="00C27ECA"/>
    <w:rsid w:val="00C30399"/>
    <w:rsid w:val="00C33F1A"/>
    <w:rsid w:val="00C3448D"/>
    <w:rsid w:val="00C34734"/>
    <w:rsid w:val="00C57553"/>
    <w:rsid w:val="00C606EA"/>
    <w:rsid w:val="00C65FF4"/>
    <w:rsid w:val="00C97AF8"/>
    <w:rsid w:val="00CB17A1"/>
    <w:rsid w:val="00CC12CF"/>
    <w:rsid w:val="00CE5DA1"/>
    <w:rsid w:val="00CF7EBE"/>
    <w:rsid w:val="00D12253"/>
    <w:rsid w:val="00D272AD"/>
    <w:rsid w:val="00D3265D"/>
    <w:rsid w:val="00D40A1C"/>
    <w:rsid w:val="00D421A8"/>
    <w:rsid w:val="00D56DFB"/>
    <w:rsid w:val="00D741E2"/>
    <w:rsid w:val="00D92386"/>
    <w:rsid w:val="00D9558A"/>
    <w:rsid w:val="00DA1003"/>
    <w:rsid w:val="00DA50AC"/>
    <w:rsid w:val="00DC1ADD"/>
    <w:rsid w:val="00DC3AD3"/>
    <w:rsid w:val="00DD48FC"/>
    <w:rsid w:val="00DF6B48"/>
    <w:rsid w:val="00DF7DEC"/>
    <w:rsid w:val="00E17FB0"/>
    <w:rsid w:val="00E65BD3"/>
    <w:rsid w:val="00E70603"/>
    <w:rsid w:val="00E803C4"/>
    <w:rsid w:val="00E8311D"/>
    <w:rsid w:val="00E85A56"/>
    <w:rsid w:val="00EB735C"/>
    <w:rsid w:val="00EE6E69"/>
    <w:rsid w:val="00EF5F3D"/>
    <w:rsid w:val="00F17DFB"/>
    <w:rsid w:val="00F25317"/>
    <w:rsid w:val="00F31544"/>
    <w:rsid w:val="00F318EF"/>
    <w:rsid w:val="00F35D5A"/>
    <w:rsid w:val="00F43960"/>
    <w:rsid w:val="00F673A0"/>
    <w:rsid w:val="00F7210D"/>
    <w:rsid w:val="00F930BB"/>
    <w:rsid w:val="00F93F24"/>
    <w:rsid w:val="00FA252D"/>
    <w:rsid w:val="00FB097E"/>
    <w:rsid w:val="00FB310C"/>
    <w:rsid w:val="00FB44B2"/>
    <w:rsid w:val="00FB5F57"/>
    <w:rsid w:val="00FD6536"/>
    <w:rsid w:val="00FF4899"/>
    <w:rsid w:val="00FF5989"/>
    <w:rsid w:val="0ECF68E9"/>
    <w:rsid w:val="5D182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uiPriority w:val="99"/>
    <w:rPr>
      <w:color w:val="0000FF" w:themeColor="hyperlink"/>
      <w:u w:val="single"/>
      <w14:textFill>
        <w14:solidFill>
          <w14:schemeClr w14:val="hlink"/>
        </w14:solidFill>
      </w14:textFill>
    </w:rPr>
  </w:style>
  <w:style w:type="character" w:customStyle="1" w:styleId="9">
    <w:name w:val="批注框文本 Char"/>
    <w:basedOn w:val="7"/>
    <w:link w:val="2"/>
    <w:semiHidden/>
    <w:uiPriority w:val="99"/>
    <w:rPr>
      <w:sz w:val="18"/>
      <w:szCs w:val="18"/>
    </w:rPr>
  </w:style>
  <w:style w:type="character" w:customStyle="1" w:styleId="10">
    <w:name w:val="页眉 Char"/>
    <w:basedOn w:val="7"/>
    <w:link w:val="4"/>
    <w:qFormat/>
    <w:uiPriority w:val="99"/>
    <w:rPr>
      <w:sz w:val="18"/>
      <w:szCs w:val="18"/>
    </w:rPr>
  </w:style>
  <w:style w:type="character" w:customStyle="1" w:styleId="11">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Sinopec</Company>
  <Pages>6</Pages>
  <Words>2873</Words>
  <Characters>3037</Characters>
  <Lines>22</Lines>
  <Paragraphs>6</Paragraphs>
  <TotalTime>795</TotalTime>
  <ScaleCrop>false</ScaleCrop>
  <LinksUpToDate>false</LinksUpToDate>
  <CharactersWithSpaces>3047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2022-09-22T00:00:00Z</dcterms:created>
  <dc:creator>李敏</dc:creator>
  <cp:lastModifiedBy>WPS_1694303832</cp:lastModifiedBy>
  <cp:lastPrinted>2021-09-23T06:22:00Z</cp:lastPrinted>
  <dcterms:modified xsi:type="dcterms:W3CDTF">2024-05-08T10:10:26Z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DF84E9869001449AA59708A29BAC4CAB</vt:lpwstr>
  </property>
</Properties>
</file>