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left"/>
        <w:rPr>
          <w:rFonts w:hint="default" w:ascii="仿宋" w:hAnsi="仿宋" w:eastAsia="微软雅黑" w:cs="宋体"/>
          <w:bCs/>
          <w:lang w:val="en-US" w:eastAsia="zh-CN" w:bidi="en-US"/>
        </w:rPr>
      </w:pPr>
      <w:bookmarkStart w:id="0" w:name="_GoBack"/>
      <w:bookmarkEnd w:id="0"/>
      <w:r>
        <w:rPr>
          <w:rFonts w:ascii="仿宋" w:hAnsi="仿宋" w:eastAsia="仿宋" w:cs="宋体"/>
          <w:bCs/>
          <w:lang w:bidi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132080</wp:posOffset>
                </wp:positionH>
                <wp:positionV relativeFrom="margin">
                  <wp:posOffset>471170</wp:posOffset>
                </wp:positionV>
                <wp:extent cx="7062470" cy="9150350"/>
                <wp:effectExtent l="0" t="0" r="0" b="0"/>
                <wp:wrapSquare wrapText="bothSides"/>
                <wp:docPr id="7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1600000">
                          <a:off x="0" y="0"/>
                          <a:ext cx="7062470" cy="915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公司简介：</w:t>
                            </w:r>
                          </w:p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中国光大环境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val="en-US" w:eastAsia="zh-CN"/>
                              </w:rPr>
                              <w:t>集团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有限公司（「光大环境」），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1993年在香港创立，为光大集团骨干企业，香港主板上市公司（257.HK ）。央企中的外企，呈现出更高的效率与活力；外企中的央企，拥有更强的责任与实力。</w:t>
                            </w:r>
                          </w:p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公司经过十多年发展，现已成为中国乃至亚洲环保行业领军企业、世界知名生态环境集团。下辖两家上市企业：新加坡及香港上市之光大水务（U9E.SG及1857.HK ）以及香港上市之光大绿色环保（1257.HK ）。国内业务遍及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26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个省（市）；海外业务已布局德国、波兰及越南市场。</w:t>
                            </w:r>
                          </w:p>
                          <w:p>
                            <w:pPr>
                              <w:spacing w:line="320" w:lineRule="exact"/>
                              <w:ind w:firstLine="412" w:firstLineChars="196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光大环保（中国）有限公司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——亚洲最大垃圾发电投资运营商。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光大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val="en-US" w:eastAsia="zh-CN"/>
                              </w:rPr>
                              <w:t>环境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旗下规模最大、业务占比最高的核心业务板块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。业务包括：垃圾发电、 餐厨垃圾处理、渗滤液处理、飞灰处理、沼气发电、污泥处理处置、环保产业园开发等，投资项目逾150个，总投资约人民币705.94亿元，所有项目均按国际水准建设运营，旗下1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个项目获国家AAA级垃圾焚烧发电厂评定，是中国垃圾发电领域邻避效应化解最好的企业。</w:t>
                            </w:r>
                          </w:p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iCs/>
                                <w:szCs w:val="21"/>
                              </w:rPr>
                              <w:t>光大环保南京区域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——横跨江苏、江西、安徽、湖北四省，辖属南京、镇江、高淳、邳州、沛县、泗阳、宝应、宿迁、马鞍山、丹阳、盐城、吉安、九江、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iCs/>
                                <w:color w:val="0000FF"/>
                                <w:szCs w:val="21"/>
                              </w:rPr>
                              <w:t>鹰潭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、孝昌、东海、修水、永新、天门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29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个垃圾焚烧发电及餐厨垃圾处理等项目。</w:t>
                            </w:r>
                          </w:p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企业荣誉：</w:t>
                            </w:r>
                          </w:p>
                          <w:p>
                            <w:pPr>
                              <w:spacing w:line="320" w:lineRule="exact"/>
                              <w:ind w:firstLine="440" w:firstLineChars="200"/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作为「一带一路」绿色发展国际联盟和长江经济带生态大保护的战略合作伙伴，光大环境秉承「情系生态环境，筑梦美丽中国」的使命担当，连续十三年稳居「中国固废十大影响力企业」首位、连续五年蝉联中国环境企业50强榜首。与此同时，公司以「创造投资价值，承担社会责任」为企业追求，连续八年获纳入道琼斯可持续发展指数系列、连续十三年获纳入恒生可持续发展企业基准指数、于2022年首次获颁香港质量保证局「实现碳中和」证书及「碳中和贡献先锋机构」嘉许、并曾多次入选标普全球《可持续发展年鉴》。</w:t>
                            </w:r>
                          </w:p>
                          <w:p>
                            <w:pPr>
                              <w:spacing w:line="320" w:lineRule="exact"/>
                              <w:ind w:firstLine="440" w:firstLineChars="20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岗位需求（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人）：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生产运行部（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全能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值班员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）：热能动力、电厂集控、电气自动化等相关专业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0"/>
                              </w:numPr>
                              <w:spacing w:line="320" w:lineRule="exact"/>
                              <w:ind w:left="420" w:leftChars="0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iCs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正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iCs/>
                                <w:szCs w:val="21"/>
                                <w:lang w:val="en-US" w:eastAsia="zh-CN"/>
                              </w:rPr>
                              <w:t>式录取后为国企正编用工性质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员工福利: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金：五险一金（社保+住房公积金）+商业补充保险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+企业年金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带薪培训：新进人员有系统全面的岗前培训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优质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宿：公司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包吃包住，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宿舍（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2人/间），配置热水供应、洗衣机、空调、独立卫生间、数字电视、宽带等日常设施，还有健身房、篮球场、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台球室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读书阅览区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等休闲娱乐设施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各项福利：年休假及国家规定带薪休假、就餐津贴、高温补贴、生日福利、慰问金、健康体检、员工食堂，各类培训课程等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团队活动：生日会、文体活动、户外拓展、年度旅游、年会等</w:t>
                            </w:r>
                          </w:p>
                          <w:p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晋升通道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经营管理、项目管理、专业技术、技能通道四大晋升通道齐头并进，有着合理的人才的激励机制。</w:t>
                            </w:r>
                          </w:p>
                          <w:p>
                            <w:pPr>
                              <w:pStyle w:val="23"/>
                              <w:spacing w:line="32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rFonts w:hint="default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工作地点：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江西省鹰潭市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月湖区光大环保能源（鹰潭）有限公司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联系方式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联系人：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女士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邮箱：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HYPERLINK "mailto:yufeiyan@cebenvironment.com.cn"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Style w:val="10"/>
                                <w:rFonts w:hint="eastAsia"/>
                              </w:rPr>
                              <w:t>yufeiyan@cebenvironment.com.cn</w: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3"/>
                              <w:spacing w:line="0" w:lineRule="atLeast"/>
                              <w:ind w:firstLine="0" w:firstLineChars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0" tIns="0" rIns="22860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10.4pt;margin-top:37.1pt;height:720.5pt;width:556.1pt;mso-position-horizontal-relative:margin;mso-position-vertical-relative:margin;mso-wrap-distance-bottom:0pt;mso-wrap-distance-left:9pt;mso-wrap-distance-right:9pt;mso-wrap-distance-top:0pt;z-index:251659264;mso-width-relative:page;mso-height-relative:page;" filled="f" stroked="f" coordsize="21600,21600" o:allowincell="f" o:gfxdata="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RJwXE2gAAAAsBAAAPAAAAAAAAAAEA&#10;IAAAACIAAABkcnMvZG93bnJldi54bWxQSwECFAAUAAAACACHTuJApNpcBNQBAAB2AwAADgAAAAAA&#10;AAABACAAAAApAQAAZHJzL2Uyb0RvYy54bWxQSwUGAAAAAAYABgBZAQAAbwUAAAAA&#10;">
                <v:fill on="f" focussize="0,0"/>
                <v:stroke on="f"/>
                <v:imagedata o:title=""/>
                <o:lock v:ext="edit" aspectratio="f"/>
                <v:textbox inset="0mm,0mm,6.35mm,0mm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公司简介：</w:t>
                      </w:r>
                    </w:p>
                    <w:p>
                      <w:pPr>
                        <w:spacing w:line="320" w:lineRule="exact"/>
                        <w:ind w:firstLine="420" w:firstLineChars="200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中国光大环境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val="en-US" w:eastAsia="zh-CN"/>
                        </w:rPr>
                        <w:t>集团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eastAsia="zh-CN"/>
                        </w:rPr>
                        <w:t>）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有限公司（「光大环境」），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1993年在香港创立，为光大集团骨干企业，香港主板上市公司（257.HK ）。央企中的外企，呈现出更高的效率与活力；外企中的央企，拥有更强的责任与实力。</w:t>
                      </w:r>
                    </w:p>
                    <w:p>
                      <w:pPr>
                        <w:spacing w:line="320" w:lineRule="exact"/>
                        <w:ind w:firstLine="420" w:firstLineChars="200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公司经过十多年发展，现已成为中国乃至亚洲环保行业领军企业、世界知名生态环境集团。下辖两家上市企业：新加坡及香港上市之光大水务（U9E.SG及1857.HK ）以及香港上市之光大绿色环保（1257.HK ）。国内业务遍及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26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个省（市）；海外业务已布局德国、波兰及越南市场。</w:t>
                      </w:r>
                    </w:p>
                    <w:p>
                      <w:pPr>
                        <w:spacing w:line="320" w:lineRule="exact"/>
                        <w:ind w:firstLine="412" w:firstLineChars="196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光大环保（中国）有限公司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——亚洲最大垃圾发电投资运营商。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光大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val="en-US" w:eastAsia="zh-CN"/>
                        </w:rPr>
                        <w:t>环境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旗下规模最大、业务占比最高的核心业务板块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。业务包括：垃圾发电、 餐厨垃圾处理、渗滤液处理、飞灰处理、沼气发电、污泥处理处置、环保产业园开发等，投资项目逾150个，总投资约人民币705.94亿元，所有项目均按国际水准建设运营，旗下1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个项目获国家AAA级垃圾焚烧发电厂评定，是中国垃圾发电领域邻避效应化解最好的企业。</w:t>
                      </w:r>
                    </w:p>
                    <w:p>
                      <w:pPr>
                        <w:spacing w:line="320" w:lineRule="exact"/>
                        <w:ind w:firstLine="420" w:firstLineChars="200"/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iCs/>
                          <w:szCs w:val="21"/>
                        </w:rPr>
                        <w:t>光大环保南京区域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——横跨江苏、江西、安徽、湖北四省，辖属南京、镇江、高淳、邳州、沛县、泗阳、宝应、宿迁、马鞍山、丹阳、盐城、吉安、九江、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iCs/>
                          <w:color w:val="0000FF"/>
                          <w:szCs w:val="21"/>
                        </w:rPr>
                        <w:t>鹰潭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、孝昌、东海、修水、永新、天门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29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个垃圾焚烧发电及餐厨垃圾处理等项目。</w:t>
                      </w:r>
                    </w:p>
                    <w:p>
                      <w:pPr>
                        <w:spacing w:line="320" w:lineRule="exact"/>
                        <w:ind w:firstLine="420" w:firstLineChars="200"/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</w:pP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企业荣誉：</w:t>
                      </w:r>
                    </w:p>
                    <w:p>
                      <w:pPr>
                        <w:spacing w:line="320" w:lineRule="exact"/>
                        <w:ind w:firstLine="440" w:firstLineChars="200"/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作为「一带一路」绿色发展国际联盟和长江经济带生态大保护的战略合作伙伴，光大环境秉承「情系生态环境，筑梦美丽中国」的使命担当，连续十三年稳居「中国固废十大影响力企业」首位、连续五年蝉联中国环境企业50强榜首。与此同时，公司以「创造投资价值，承担社会责任」为企业追求，连续八年获纳入道琼斯可持续发展指数系列、连续十三年获纳入恒生可持续发展企业基准指数、于2022年首次获颁香港质量保证局「实现碳中和」证书及「碳中和贡献先锋机构」嘉许、并曾多次入选标普全球《可持续发展年鉴》。</w:t>
                      </w:r>
                    </w:p>
                    <w:p>
                      <w:pPr>
                        <w:spacing w:line="320" w:lineRule="exact"/>
                        <w:ind w:firstLine="440" w:firstLineChars="200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</w:pP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岗位需求（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人）：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生产运行部（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全能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值班员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5名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）：热能动力、电厂集控、电气自动化等相关专业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0"/>
                        </w:numPr>
                        <w:spacing w:line="320" w:lineRule="exact"/>
                        <w:ind w:left="420" w:leftChars="0"/>
                        <w:rPr>
                          <w:rFonts w:hint="default" w:ascii="微软雅黑" w:hAnsi="微软雅黑" w:eastAsia="微软雅黑"/>
                          <w:b/>
                          <w:bCs/>
                          <w:iCs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正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iCs/>
                          <w:szCs w:val="21"/>
                          <w:lang w:val="en-US" w:eastAsia="zh-CN"/>
                        </w:rPr>
                        <w:t>式录取后为国企正编用工性质</w:t>
                      </w:r>
                    </w:p>
                    <w:p>
                      <w:pPr>
                        <w:spacing w:line="320" w:lineRule="exact"/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员工福利: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六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险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金：五险一金（社保+住房公积金）+商业补充保险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+企业年金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带薪培训：新进人员有系统全面的岗前培训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优质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食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宿：公司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包吃包住，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宿舍（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1-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2人/间），配置热水供应、洗衣机、空调、独立卫生间、数字电视、宽带等日常设施，还有健身房、篮球场、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台球室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读书阅览区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等休闲娱乐设施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各项福利：年休假及国家规定带薪休假、就餐津贴、高温补贴、生日福利、慰问金、健康体检、员工食堂，各类培训课程等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团队活动：生日会、文体活动、户外拓展、年度旅游、年会等</w:t>
                      </w:r>
                    </w:p>
                    <w:p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晋升通道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经营管理、项目管理、专业技术、技能通道四大晋升通道齐头并进，有着合理的人才的激励机制。</w:t>
                      </w:r>
                    </w:p>
                    <w:p>
                      <w:pPr>
                        <w:pStyle w:val="23"/>
                        <w:spacing w:line="320" w:lineRule="exact"/>
                        <w:ind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20" w:lineRule="exact"/>
                        <w:rPr>
                          <w:rFonts w:hint="default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工作地点：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江西省鹰潭市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月湖区光大环保能源（鹰潭）有限公司</w:t>
                      </w:r>
                    </w:p>
                    <w:p>
                      <w:pPr>
                        <w:spacing w:line="32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联系方式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联系人：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余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女士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邮箱：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HYPERLINK "mailto:yufeiyan@cebenvironment.com.cn"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Style w:val="10"/>
                          <w:rFonts w:hint="eastAsia"/>
                        </w:rPr>
                        <w:t>yufeiyan@cebenvironment.com.cn</w: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</w:p>
                    <w:p>
                      <w:pPr>
                        <w:spacing w:line="32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3"/>
                        <w:spacing w:line="0" w:lineRule="atLeast"/>
                        <w:ind w:firstLine="0" w:firstLineChars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 w:ascii="仿宋" w:hAnsi="仿宋" w:eastAsia="仿宋" w:cs="宋体"/>
          <w:bCs/>
          <w:lang w:bidi="en-US"/>
        </w:rPr>
        <w:t xml:space="preserve">   </w:t>
      </w:r>
      <w:r>
        <w:rPr>
          <w:rFonts w:hint="eastAsia" w:ascii="仿宋" w:hAnsi="仿宋" w:eastAsia="仿宋" w:cs="宋体"/>
          <w:bCs/>
          <w:lang w:val="en-US" w:eastAsia="zh-CN" w:bidi="en-US"/>
        </w:rPr>
        <w:t xml:space="preserve"> </w:t>
      </w:r>
      <w:r>
        <w:rPr>
          <w:rFonts w:hint="eastAsia" w:ascii="仿宋" w:hAnsi="仿宋" w:eastAsia="仿宋" w:cs="宋体"/>
          <w:bCs/>
          <w:lang w:bidi="en-US"/>
        </w:rPr>
        <w:t xml:space="preserve">  </w:t>
      </w:r>
      <w:r>
        <w:rPr>
          <w:rFonts w:hint="eastAsia" w:ascii="仿宋" w:hAnsi="仿宋" w:eastAsia="仿宋" w:cs="宋体"/>
          <w:bCs/>
          <w:lang w:val="en-US" w:eastAsia="zh-CN" w:bidi="en-US"/>
        </w:rPr>
        <w:t xml:space="preserve">                   </w:t>
      </w:r>
      <w:r>
        <w:rPr>
          <w:rFonts w:hint="eastAsia" w:ascii="微软雅黑" w:hAnsi="微软雅黑" w:eastAsia="微软雅黑"/>
          <w:b/>
          <w:iCs/>
          <w:szCs w:val="21"/>
        </w:rPr>
        <w:t>中国光大环境</w:t>
      </w:r>
      <w:r>
        <w:rPr>
          <w:rFonts w:hint="eastAsia" w:ascii="微软雅黑" w:hAnsi="微软雅黑" w:eastAsia="微软雅黑"/>
          <w:b/>
          <w:iCs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/>
          <w:iCs/>
          <w:szCs w:val="21"/>
          <w:lang w:val="en-US" w:eastAsia="zh-CN"/>
        </w:rPr>
        <w:t>集团</w:t>
      </w:r>
      <w:r>
        <w:rPr>
          <w:rFonts w:hint="eastAsia" w:ascii="微软雅黑" w:hAnsi="微软雅黑" w:eastAsia="微软雅黑"/>
          <w:b/>
          <w:iCs/>
          <w:szCs w:val="21"/>
          <w:lang w:eastAsia="zh-CN"/>
        </w:rPr>
        <w:t>）</w:t>
      </w:r>
      <w:r>
        <w:rPr>
          <w:rFonts w:hint="eastAsia" w:ascii="微软雅黑" w:hAnsi="微软雅黑" w:eastAsia="微软雅黑"/>
          <w:b/>
          <w:iCs/>
          <w:szCs w:val="21"/>
        </w:rPr>
        <w:t>有限公司</w:t>
      </w:r>
      <w:r>
        <w:rPr>
          <w:rFonts w:hint="eastAsia" w:ascii="微软雅黑" w:hAnsi="微软雅黑" w:eastAsia="微软雅黑"/>
          <w:b/>
          <w:iCs/>
          <w:szCs w:val="21"/>
          <w:lang w:val="en-US" w:eastAsia="zh-CN"/>
        </w:rPr>
        <w:t>招聘简章</w:t>
      </w:r>
    </w:p>
    <w:sectPr>
      <w:pgSz w:w="11906" w:h="16838"/>
      <w:pgMar w:top="340" w:right="340" w:bottom="340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HeiHKS-Light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MHeiHKS-X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venir LT Std 35 Ligh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13F2"/>
    <w:multiLevelType w:val="multilevel"/>
    <w:tmpl w:val="100E13F2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lN2Q2MTUwMDZiMzBiMGUxZDI5ZDRlY2JlMjdiODIifQ=="/>
  </w:docVars>
  <w:rsids>
    <w:rsidRoot w:val="00493FA5"/>
    <w:rsid w:val="000114D7"/>
    <w:rsid w:val="000B1767"/>
    <w:rsid w:val="001C5FD0"/>
    <w:rsid w:val="001D6E52"/>
    <w:rsid w:val="00207A69"/>
    <w:rsid w:val="00236E89"/>
    <w:rsid w:val="002E0B60"/>
    <w:rsid w:val="00385600"/>
    <w:rsid w:val="003B6039"/>
    <w:rsid w:val="00493FA5"/>
    <w:rsid w:val="004F3683"/>
    <w:rsid w:val="005E2310"/>
    <w:rsid w:val="00677C52"/>
    <w:rsid w:val="007D39A4"/>
    <w:rsid w:val="00801DA2"/>
    <w:rsid w:val="00895E61"/>
    <w:rsid w:val="009358A5"/>
    <w:rsid w:val="00963C89"/>
    <w:rsid w:val="00982C0A"/>
    <w:rsid w:val="00A11D74"/>
    <w:rsid w:val="00A5078D"/>
    <w:rsid w:val="00B47CC1"/>
    <w:rsid w:val="00BB750C"/>
    <w:rsid w:val="00BD2B76"/>
    <w:rsid w:val="00C95E60"/>
    <w:rsid w:val="00CD1067"/>
    <w:rsid w:val="00D145B9"/>
    <w:rsid w:val="00D64A81"/>
    <w:rsid w:val="00DB3453"/>
    <w:rsid w:val="00EB01CE"/>
    <w:rsid w:val="00ED22F5"/>
    <w:rsid w:val="00ED439D"/>
    <w:rsid w:val="00F1013A"/>
    <w:rsid w:val="00FC2A38"/>
    <w:rsid w:val="00FC69E3"/>
    <w:rsid w:val="03DC6D5B"/>
    <w:rsid w:val="042C36E0"/>
    <w:rsid w:val="05485778"/>
    <w:rsid w:val="05AF293F"/>
    <w:rsid w:val="06A4186D"/>
    <w:rsid w:val="08A86A2B"/>
    <w:rsid w:val="09D65023"/>
    <w:rsid w:val="0A7113D6"/>
    <w:rsid w:val="0B217EE9"/>
    <w:rsid w:val="0B87335A"/>
    <w:rsid w:val="0CE76F2A"/>
    <w:rsid w:val="0F6F240F"/>
    <w:rsid w:val="102B6EFE"/>
    <w:rsid w:val="116F1233"/>
    <w:rsid w:val="11A368D7"/>
    <w:rsid w:val="13081FD1"/>
    <w:rsid w:val="136A7AC0"/>
    <w:rsid w:val="14D02E7C"/>
    <w:rsid w:val="1740656F"/>
    <w:rsid w:val="19CA6717"/>
    <w:rsid w:val="19D00AFD"/>
    <w:rsid w:val="19DA487F"/>
    <w:rsid w:val="19EF616F"/>
    <w:rsid w:val="1B55264D"/>
    <w:rsid w:val="1B603C79"/>
    <w:rsid w:val="1BC565DE"/>
    <w:rsid w:val="1CE61F3C"/>
    <w:rsid w:val="1DAC2C1C"/>
    <w:rsid w:val="21812338"/>
    <w:rsid w:val="224507D6"/>
    <w:rsid w:val="22EA7B20"/>
    <w:rsid w:val="23463543"/>
    <w:rsid w:val="240D618A"/>
    <w:rsid w:val="2644325C"/>
    <w:rsid w:val="272B17FD"/>
    <w:rsid w:val="27617D89"/>
    <w:rsid w:val="28DE3C83"/>
    <w:rsid w:val="29466F83"/>
    <w:rsid w:val="29E57612"/>
    <w:rsid w:val="2AF35560"/>
    <w:rsid w:val="2BE73FC0"/>
    <w:rsid w:val="2EB6727F"/>
    <w:rsid w:val="305B02AF"/>
    <w:rsid w:val="31E93E2B"/>
    <w:rsid w:val="330474B5"/>
    <w:rsid w:val="338A5FC1"/>
    <w:rsid w:val="33CB752E"/>
    <w:rsid w:val="348203CC"/>
    <w:rsid w:val="34D021B5"/>
    <w:rsid w:val="35CE3B6B"/>
    <w:rsid w:val="36AD2EE7"/>
    <w:rsid w:val="37841E99"/>
    <w:rsid w:val="38231B9B"/>
    <w:rsid w:val="3A1D2887"/>
    <w:rsid w:val="3A201C14"/>
    <w:rsid w:val="3C7F78FD"/>
    <w:rsid w:val="3E5D5CD8"/>
    <w:rsid w:val="4050500F"/>
    <w:rsid w:val="40DA618D"/>
    <w:rsid w:val="430452D5"/>
    <w:rsid w:val="43B951E8"/>
    <w:rsid w:val="43F65ECD"/>
    <w:rsid w:val="442740BC"/>
    <w:rsid w:val="447B00E9"/>
    <w:rsid w:val="45DE5848"/>
    <w:rsid w:val="462F3E64"/>
    <w:rsid w:val="46523E6B"/>
    <w:rsid w:val="47CF0F0F"/>
    <w:rsid w:val="4828294B"/>
    <w:rsid w:val="483F0230"/>
    <w:rsid w:val="48F12BB7"/>
    <w:rsid w:val="4DF7451E"/>
    <w:rsid w:val="520B02AC"/>
    <w:rsid w:val="528240D9"/>
    <w:rsid w:val="53C64377"/>
    <w:rsid w:val="558D18DE"/>
    <w:rsid w:val="55DC0058"/>
    <w:rsid w:val="55F93315"/>
    <w:rsid w:val="573771DD"/>
    <w:rsid w:val="58F46419"/>
    <w:rsid w:val="5C651EB1"/>
    <w:rsid w:val="5CCC3B56"/>
    <w:rsid w:val="5D06152E"/>
    <w:rsid w:val="5D294D8B"/>
    <w:rsid w:val="5D5E0913"/>
    <w:rsid w:val="5DE91857"/>
    <w:rsid w:val="5EA736E3"/>
    <w:rsid w:val="5FBB1CB8"/>
    <w:rsid w:val="6066704F"/>
    <w:rsid w:val="6109328C"/>
    <w:rsid w:val="61B21969"/>
    <w:rsid w:val="61C3292C"/>
    <w:rsid w:val="62375306"/>
    <w:rsid w:val="629F37BB"/>
    <w:rsid w:val="64322C07"/>
    <w:rsid w:val="65332685"/>
    <w:rsid w:val="671608D8"/>
    <w:rsid w:val="67D463BC"/>
    <w:rsid w:val="6ABD1D28"/>
    <w:rsid w:val="6B4C67A1"/>
    <w:rsid w:val="6BA51A17"/>
    <w:rsid w:val="6E8009D2"/>
    <w:rsid w:val="6EBC36EB"/>
    <w:rsid w:val="6F987691"/>
    <w:rsid w:val="72326E4C"/>
    <w:rsid w:val="72687402"/>
    <w:rsid w:val="7675054E"/>
    <w:rsid w:val="76FC11CD"/>
    <w:rsid w:val="775533DC"/>
    <w:rsid w:val="788C79A8"/>
    <w:rsid w:val="7A0647DC"/>
    <w:rsid w:val="7ABE7D1A"/>
    <w:rsid w:val="7B7A6E08"/>
    <w:rsid w:val="7BE44282"/>
    <w:rsid w:val="7BEA5B2A"/>
    <w:rsid w:val="7C8B50BA"/>
    <w:rsid w:val="7D2F248E"/>
    <w:rsid w:val="7D326892"/>
    <w:rsid w:val="7DC1592D"/>
    <w:rsid w:val="7ECE4B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semiHidden/>
    <w:qFormat/>
    <w:uiPriority w:val="99"/>
    <w:rPr>
      <w:sz w:val="18"/>
      <w:szCs w:val="18"/>
    </w:rPr>
  </w:style>
  <w:style w:type="paragraph" w:customStyle="1" w:styleId="13">
    <w:name w:val="Pa1+1"/>
    <w:basedOn w:val="1"/>
    <w:next w:val="1"/>
    <w:qFormat/>
    <w:uiPriority w:val="99"/>
    <w:pPr>
      <w:autoSpaceDE w:val="0"/>
      <w:autoSpaceDN w:val="0"/>
      <w:adjustRightInd w:val="0"/>
      <w:spacing w:line="201" w:lineRule="atLeast"/>
      <w:jc w:val="left"/>
    </w:pPr>
    <w:rPr>
      <w:rFonts w:ascii="MHeiHKS-Light" w:eastAsia="MHeiHKS-Light"/>
      <w:kern w:val="0"/>
      <w:sz w:val="24"/>
      <w:szCs w:val="24"/>
    </w:rPr>
  </w:style>
  <w:style w:type="paragraph" w:customStyle="1" w:styleId="14">
    <w:name w:val="Pa4"/>
    <w:basedOn w:val="1"/>
    <w:next w:val="1"/>
    <w:qFormat/>
    <w:uiPriority w:val="99"/>
    <w:pPr>
      <w:autoSpaceDE w:val="0"/>
      <w:autoSpaceDN w:val="0"/>
      <w:adjustRightInd w:val="0"/>
      <w:spacing w:line="141" w:lineRule="atLeast"/>
      <w:jc w:val="left"/>
    </w:pPr>
    <w:rPr>
      <w:rFonts w:ascii="MHeiHKS-Xbold" w:eastAsia="MHeiHKS-Xbold"/>
      <w:kern w:val="0"/>
      <w:sz w:val="24"/>
      <w:szCs w:val="24"/>
    </w:rPr>
  </w:style>
  <w:style w:type="paragraph" w:customStyle="1" w:styleId="15">
    <w:name w:val="Pa6+1"/>
    <w:basedOn w:val="1"/>
    <w:next w:val="1"/>
    <w:qFormat/>
    <w:uiPriority w:val="99"/>
    <w:pPr>
      <w:autoSpaceDE w:val="0"/>
      <w:autoSpaceDN w:val="0"/>
      <w:adjustRightInd w:val="0"/>
      <w:spacing w:line="201" w:lineRule="atLeast"/>
      <w:jc w:val="left"/>
    </w:pPr>
    <w:rPr>
      <w:rFonts w:ascii="MHeiHKS-Light" w:eastAsia="MHeiHKS-Light"/>
      <w:kern w:val="0"/>
      <w:sz w:val="24"/>
      <w:szCs w:val="24"/>
    </w:rPr>
  </w:style>
  <w:style w:type="paragraph" w:customStyle="1" w:styleId="16">
    <w:name w:val="Pa5+1"/>
    <w:basedOn w:val="1"/>
    <w:next w:val="1"/>
    <w:qFormat/>
    <w:uiPriority w:val="99"/>
    <w:pPr>
      <w:autoSpaceDE w:val="0"/>
      <w:autoSpaceDN w:val="0"/>
      <w:adjustRightInd w:val="0"/>
      <w:spacing w:line="201" w:lineRule="atLeast"/>
      <w:jc w:val="left"/>
    </w:pPr>
    <w:rPr>
      <w:rFonts w:ascii="MHeiHKS-Light" w:eastAsia="MHeiHKS-Light"/>
      <w:kern w:val="0"/>
      <w:sz w:val="24"/>
      <w:szCs w:val="24"/>
    </w:rPr>
  </w:style>
  <w:style w:type="character" w:customStyle="1" w:styleId="17">
    <w:name w:val="A5+1"/>
    <w:qFormat/>
    <w:uiPriority w:val="99"/>
    <w:rPr>
      <w:rFonts w:cs="MHeiHKS-Light"/>
      <w:b/>
      <w:bCs/>
      <w:color w:val="221E1F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Avenir LT Std 35 Light" w:eastAsia="Avenir LT Std 35 Light" w:cs="Avenir LT Std 35 Light" w:hAnsiTheme="minorHAnsi"/>
      <w:color w:val="000000"/>
      <w:sz w:val="24"/>
      <w:szCs w:val="24"/>
      <w:lang w:val="en-US" w:eastAsia="zh-CN" w:bidi="ar-SA"/>
    </w:rPr>
  </w:style>
  <w:style w:type="paragraph" w:customStyle="1" w:styleId="19">
    <w:name w:val="Char"/>
    <w:basedOn w:val="3"/>
    <w:qFormat/>
    <w:uiPriority w:val="0"/>
    <w:pPr>
      <w:shd w:val="clear" w:color="auto" w:fill="000080"/>
    </w:pPr>
    <w:rPr>
      <w:rFonts w:ascii="Tahoma" w:hAnsi="Tahoma" w:cs="Times New Roman"/>
      <w:sz w:val="24"/>
      <w:szCs w:val="24"/>
    </w:rPr>
  </w:style>
  <w:style w:type="character" w:customStyle="1" w:styleId="20">
    <w:name w:val="文档结构图 字符"/>
    <w:basedOn w:val="9"/>
    <w:link w:val="3"/>
    <w:semiHidden/>
    <w:qFormat/>
    <w:uiPriority w:val="99"/>
    <w:rPr>
      <w:rFonts w:ascii="宋体" w:eastAsia="宋体"/>
      <w:sz w:val="18"/>
      <w:szCs w:val="18"/>
    </w:rPr>
  </w:style>
  <w:style w:type="paragraph" w:styleId="21">
    <w:name w:val="No Spacing"/>
    <w:link w:val="2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2">
    <w:name w:val="无间隔 字符"/>
    <w:basedOn w:val="9"/>
    <w:link w:val="21"/>
    <w:qFormat/>
    <w:uiPriority w:val="1"/>
    <w:rPr>
      <w:kern w:val="0"/>
      <w:sz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5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6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7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4AC9ED-EF91-4EF1-B1C4-972E21AB70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</Words>
  <Characters>4</Characters>
  <Lines>1</Lines>
  <Paragraphs>1</Paragraphs>
  <TotalTime>2</TotalTime>
  <ScaleCrop>false</ScaleCrop>
  <LinksUpToDate>false</LinksUpToDate>
  <CharactersWithSpaces>15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2021-12-06T04:01:00Z</dcterms:created>
  <dc:creator>王建敏</dc:creator>
  <cp:lastModifiedBy>1</cp:lastModifiedBy>
  <cp:lastPrinted>2024-05-08T02:00:00Z</cp:lastPrinted>
  <dcterms:modified xsi:type="dcterms:W3CDTF">2024-05-08T08:52:24Z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B10E567A2C1145E7B7095BD07A5AF411_13</vt:lpwstr>
  </property>
</Properties>
</file>