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rPr>
      </w:pPr>
      <w:r>
        <w:rPr>
          <w:rFonts w:hint="eastAsia"/>
        </w:rPr>
        <w:t>公诚管理咨询有限公司江西分公司</w:t>
      </w:r>
    </w:p>
    <w:p>
      <w:pPr>
        <w:pStyle w:val="2"/>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lang w:val="en-US" w:eastAsia="zh-CN"/>
        </w:rPr>
      </w:pPr>
      <w:r>
        <w:rPr>
          <w:rFonts w:hint="eastAsia"/>
          <w:lang w:val="en-US" w:eastAsia="zh-CN"/>
        </w:rPr>
        <w:t>招聘简章</w:t>
      </w:r>
      <w:bookmarkStart w:id="0" w:name="_GoBack"/>
      <w:bookmarkEnd w:id="0"/>
    </w:p>
    <w:p>
      <w:pPr>
        <w:pageBreakBefore w:val="0"/>
        <w:widowControl w:val="0"/>
        <w:kinsoku/>
        <w:wordWrap/>
        <w:overflowPunct/>
        <w:topLinePunct w:val="0"/>
        <w:autoSpaceDE/>
        <w:autoSpaceDN/>
        <w:bidi w:val="0"/>
        <w:adjustRightInd/>
        <w:snapToGrid/>
        <w:spacing w:before="157" w:beforeLines="50" w:after="157" w:afterLines="50"/>
        <w:textAlignment w:val="auto"/>
        <w:rPr>
          <w:rFonts w:hint="default"/>
          <w:b/>
          <w:bCs/>
          <w:sz w:val="36"/>
          <w:szCs w:val="36"/>
          <w:lang w:val="en-US" w:eastAsia="zh-CN"/>
        </w:rPr>
      </w:pPr>
      <w:r>
        <w:rPr>
          <w:rFonts w:hint="eastAsia"/>
          <w:b/>
          <w:bCs/>
          <w:sz w:val="36"/>
          <w:szCs w:val="36"/>
          <w:lang w:val="en-US" w:eastAsia="zh-CN"/>
        </w:rPr>
        <w:t>企业介绍：</w:t>
      </w:r>
    </w:p>
    <w:p>
      <w:pPr>
        <w:widowControl/>
        <w:shd w:val="clear" w:color="auto" w:fill="FFFFFF"/>
        <w:spacing w:line="375" w:lineRule="atLeast"/>
        <w:ind w:firstLine="480" w:firstLineChars="200"/>
        <w:jc w:val="left"/>
        <w:rPr>
          <w:rFonts w:ascii="宋体" w:hAnsi="宋体" w:eastAsia="宋体" w:cs="宋体"/>
          <w:color w:val="333333"/>
          <w:kern w:val="0"/>
          <w:sz w:val="24"/>
          <w:szCs w:val="24"/>
        </w:rPr>
      </w:pPr>
      <w:r>
        <w:rPr>
          <w:rFonts w:ascii="宋体" w:hAnsi="宋体" w:eastAsia="宋体" w:cs="宋体"/>
          <w:color w:val="333333"/>
          <w:kern w:val="0"/>
          <w:sz w:val="24"/>
          <w:szCs w:val="24"/>
        </w:rPr>
        <w:t>公诚管理咨询有限公司（简称“公诚咨询”）成立于2000年3月（前身：广东公诚通信建设监理有限公司），是中国通信服务股份有限公司（上市代号：0552.HK）旗下广东省通信产业服务有限公司的专业子公司，中国通信企业协会通信设计施工专业委员会监理工作部副主任委员单位，国际咨询工程师联合会成员协会会议单位，中国工程咨询协会会员单位。</w:t>
      </w:r>
    </w:p>
    <w:p>
      <w:pPr>
        <w:widowControl/>
        <w:shd w:val="clear" w:color="auto" w:fill="FFFFFF"/>
        <w:spacing w:line="375" w:lineRule="atLeast"/>
        <w:ind w:firstLine="480" w:firstLineChars="200"/>
        <w:jc w:val="left"/>
        <w:rPr>
          <w:rFonts w:ascii="宋体" w:hAnsi="宋体" w:eastAsia="宋体" w:cs="宋体"/>
          <w:color w:val="333333"/>
          <w:kern w:val="0"/>
          <w:sz w:val="24"/>
          <w:szCs w:val="24"/>
        </w:rPr>
      </w:pPr>
      <w:r>
        <w:rPr>
          <w:rFonts w:ascii="宋体" w:hAnsi="宋体" w:eastAsia="宋体" w:cs="宋体"/>
          <w:color w:val="333333"/>
          <w:kern w:val="0"/>
          <w:sz w:val="24"/>
          <w:szCs w:val="24"/>
        </w:rPr>
        <w:t>历经十余年的风雨兼程和顽强拼搏，公司现已具备</w:t>
      </w:r>
      <w:r>
        <w:rPr>
          <w:rFonts w:hint="eastAsia" w:ascii="宋体" w:hAnsi="宋体" w:eastAsia="宋体" w:cs="宋体"/>
          <w:color w:val="333333"/>
          <w:kern w:val="0"/>
          <w:sz w:val="24"/>
          <w:szCs w:val="24"/>
        </w:rPr>
        <w:t>监理综合资质（监理最高资质）</w:t>
      </w:r>
      <w:r>
        <w:rPr>
          <w:rFonts w:ascii="宋体" w:hAnsi="宋体" w:eastAsia="宋体" w:cs="宋体"/>
          <w:color w:val="333333"/>
          <w:kern w:val="0"/>
          <w:sz w:val="24"/>
          <w:szCs w:val="24"/>
        </w:rPr>
        <w:t>、甲级通信建设招标代理、甲级政府采购代理、机电产品国际招标代理、</w:t>
      </w:r>
      <w:r>
        <w:rPr>
          <w:rFonts w:hint="eastAsia" w:ascii="宋体" w:hAnsi="宋体" w:eastAsia="宋体" w:cs="宋体"/>
          <w:color w:val="333333"/>
          <w:kern w:val="0"/>
          <w:sz w:val="24"/>
          <w:szCs w:val="24"/>
        </w:rPr>
        <w:t>乙级公路工程监理、</w:t>
      </w:r>
      <w:r>
        <w:rPr>
          <w:rFonts w:ascii="宋体" w:hAnsi="宋体" w:eastAsia="宋体" w:cs="宋体"/>
          <w:color w:val="333333"/>
          <w:kern w:val="0"/>
          <w:sz w:val="24"/>
          <w:szCs w:val="24"/>
        </w:rPr>
        <w:t>乙级中央投资项目招标代理、</w:t>
      </w:r>
      <w:r>
        <w:rPr>
          <w:rFonts w:hint="eastAsia" w:ascii="宋体" w:hAnsi="宋体" w:eastAsia="宋体" w:cs="宋体"/>
          <w:color w:val="333333"/>
          <w:kern w:val="0"/>
          <w:sz w:val="24"/>
          <w:szCs w:val="24"/>
        </w:rPr>
        <w:t>甲</w:t>
      </w:r>
      <w:r>
        <w:rPr>
          <w:rFonts w:ascii="宋体" w:hAnsi="宋体" w:eastAsia="宋体" w:cs="宋体"/>
          <w:color w:val="333333"/>
          <w:kern w:val="0"/>
          <w:sz w:val="24"/>
          <w:szCs w:val="24"/>
        </w:rPr>
        <w:t>级工程造价咨询、乙级通信信息网络系统集成等资质，可为客户提供全专业、全过程的工程建设管理与咨询服务，是国内工程建设管理与咨询服务领域专业最为齐全的企业之一。</w:t>
      </w:r>
    </w:p>
    <w:p>
      <w:pPr>
        <w:widowControl/>
        <w:shd w:val="clear" w:color="auto" w:fill="FFFFFF"/>
        <w:spacing w:line="375" w:lineRule="atLeast"/>
        <w:ind w:firstLine="480" w:firstLineChars="200"/>
        <w:jc w:val="left"/>
        <w:rPr>
          <w:rFonts w:ascii="宋体" w:hAnsi="宋体" w:eastAsia="宋体" w:cs="宋体"/>
          <w:color w:val="333333"/>
          <w:kern w:val="0"/>
          <w:sz w:val="24"/>
          <w:szCs w:val="24"/>
        </w:rPr>
      </w:pPr>
      <w:r>
        <w:rPr>
          <w:rFonts w:ascii="宋体" w:hAnsi="宋体" w:eastAsia="宋体" w:cs="宋体"/>
          <w:color w:val="333333"/>
          <w:kern w:val="0"/>
          <w:sz w:val="24"/>
          <w:szCs w:val="24"/>
        </w:rPr>
        <w:t>公司的发展日新月异，业务区域已遍及</w:t>
      </w:r>
      <w:r>
        <w:rPr>
          <w:rFonts w:hint="eastAsia" w:ascii="宋体" w:hAnsi="宋体" w:eastAsia="宋体" w:cs="宋体"/>
          <w:color w:val="333333"/>
          <w:kern w:val="0"/>
          <w:sz w:val="24"/>
          <w:szCs w:val="24"/>
        </w:rPr>
        <w:t>全国除台湾</w:t>
      </w:r>
      <w:r>
        <w:rPr>
          <w:rFonts w:ascii="宋体" w:hAnsi="宋体" w:eastAsia="宋体" w:cs="宋体"/>
          <w:color w:val="333333"/>
          <w:kern w:val="0"/>
          <w:sz w:val="24"/>
          <w:szCs w:val="24"/>
        </w:rPr>
        <w:t>外的</w:t>
      </w:r>
      <w:r>
        <w:rPr>
          <w:rFonts w:hint="eastAsia" w:ascii="宋体" w:hAnsi="宋体" w:eastAsia="宋体" w:cs="宋体"/>
          <w:color w:val="333333"/>
          <w:kern w:val="0"/>
          <w:sz w:val="24"/>
          <w:szCs w:val="24"/>
        </w:rPr>
        <w:t>31</w:t>
      </w:r>
      <w:r>
        <w:rPr>
          <w:rFonts w:ascii="宋体" w:hAnsi="宋体" w:eastAsia="宋体" w:cs="宋体"/>
          <w:color w:val="333333"/>
          <w:kern w:val="0"/>
          <w:sz w:val="24"/>
          <w:szCs w:val="24"/>
        </w:rPr>
        <w:t>个省市自治区以及港澳特别行政区，目前已为亚洲孟加拉国和非洲安哥拉国家通信网建设工程提供了咨询服务。目前，公司员工总数</w:t>
      </w:r>
      <w:r>
        <w:rPr>
          <w:rFonts w:hint="eastAsia" w:ascii="宋体" w:hAnsi="宋体" w:eastAsia="宋体" w:cs="宋体"/>
          <w:color w:val="333333"/>
          <w:kern w:val="0"/>
          <w:sz w:val="24"/>
          <w:szCs w:val="24"/>
        </w:rPr>
        <w:t>8000</w:t>
      </w:r>
      <w:r>
        <w:rPr>
          <w:rFonts w:ascii="宋体" w:hAnsi="宋体" w:eastAsia="宋体" w:cs="宋体"/>
          <w:color w:val="333333"/>
          <w:kern w:val="0"/>
          <w:sz w:val="24"/>
          <w:szCs w:val="24"/>
        </w:rPr>
        <w:t>余名，大专以上学历占95%以上，专业技术人才超过员工总数的95%，是国内规模最大的信息网络建设管理咨询企业。</w:t>
      </w:r>
    </w:p>
    <w:p>
      <w:pPr>
        <w:widowControl/>
        <w:shd w:val="clear" w:color="auto" w:fill="FFFFFF"/>
        <w:spacing w:line="375" w:lineRule="atLeast"/>
        <w:ind w:firstLine="422" w:firstLineChars="200"/>
        <w:jc w:val="left"/>
        <w:rPr>
          <w:rFonts w:ascii="宋体" w:hAnsi="宋体" w:eastAsia="宋体" w:cs="宋体"/>
          <w:b/>
          <w:bCs/>
          <w:color w:val="333333"/>
          <w:kern w:val="0"/>
          <w:szCs w:val="21"/>
        </w:rPr>
      </w:pPr>
      <w:r>
        <w:rPr>
          <w:rFonts w:hint="eastAsia" w:ascii="宋体" w:hAnsi="宋体" w:eastAsia="宋体" w:cs="宋体"/>
          <w:b/>
          <w:bCs/>
          <w:color w:val="333333"/>
          <w:kern w:val="0"/>
          <w:szCs w:val="21"/>
        </w:rPr>
        <w:t>公司业绩：</w:t>
      </w:r>
    </w:p>
    <w:p>
      <w:pPr>
        <w:widowControl/>
        <w:shd w:val="clear" w:color="auto" w:fill="FFFFFF"/>
        <w:spacing w:line="375" w:lineRule="atLeast"/>
        <w:ind w:firstLine="480" w:firstLineChars="200"/>
        <w:jc w:val="left"/>
        <w:rPr>
          <w:rFonts w:ascii="Helvetica" w:hAnsi="Helvetica" w:cs="Helvetica"/>
          <w:color w:val="333333"/>
          <w:sz w:val="24"/>
          <w:szCs w:val="24"/>
          <w:shd w:val="clear" w:color="auto" w:fill="F5F5F5"/>
        </w:rPr>
      </w:pPr>
      <w:r>
        <w:rPr>
          <w:rFonts w:ascii="Helvetica" w:hAnsi="Helvetica" w:cs="Helvetica"/>
          <w:color w:val="333333"/>
          <w:sz w:val="24"/>
          <w:szCs w:val="24"/>
          <w:shd w:val="clear" w:color="auto" w:fill="F5F5F5"/>
        </w:rPr>
        <w:t>国网鹰潭供电公司2020年江西鹰潭贵溪市志光220kV开关站主变扩建110kV送出工程</w:t>
      </w:r>
    </w:p>
    <w:p>
      <w:pPr>
        <w:widowControl/>
        <w:shd w:val="clear" w:color="auto" w:fill="FFFFFF"/>
        <w:spacing w:line="375" w:lineRule="atLeast"/>
        <w:ind w:firstLine="480" w:firstLineChars="200"/>
        <w:jc w:val="left"/>
        <w:rPr>
          <w:rFonts w:ascii="Helvetica" w:hAnsi="Helvetica" w:cs="Helvetica"/>
          <w:color w:val="333333"/>
          <w:sz w:val="24"/>
          <w:szCs w:val="24"/>
          <w:shd w:val="clear" w:color="auto" w:fill="FFFFFF"/>
        </w:rPr>
      </w:pPr>
      <w:r>
        <w:rPr>
          <w:rFonts w:ascii="Helvetica" w:hAnsi="Helvetica" w:cs="Helvetica"/>
          <w:color w:val="333333"/>
          <w:sz w:val="24"/>
          <w:szCs w:val="24"/>
          <w:shd w:val="clear" w:color="auto" w:fill="FFFFFF"/>
        </w:rPr>
        <w:t>国网江西上饶供电公司2020年客户侧泛在电力物联网设备物理层适应性升级改造（采集终端及配套改造)工程建设工程监理合同-电力专业（10KV及以上）</w:t>
      </w:r>
    </w:p>
    <w:p>
      <w:pPr>
        <w:widowControl/>
        <w:shd w:val="clear" w:color="auto" w:fill="FFFFFF"/>
        <w:spacing w:line="375" w:lineRule="atLeast"/>
        <w:ind w:firstLine="480" w:firstLineChars="200"/>
        <w:jc w:val="left"/>
        <w:rPr>
          <w:rFonts w:ascii="Helvetica" w:hAnsi="Helvetica" w:cs="Helvetica"/>
          <w:color w:val="333333"/>
          <w:sz w:val="24"/>
          <w:szCs w:val="24"/>
          <w:shd w:val="clear" w:color="auto" w:fill="F5F5F5"/>
        </w:rPr>
      </w:pPr>
      <w:r>
        <w:rPr>
          <w:rFonts w:ascii="Helvetica" w:hAnsi="Helvetica" w:cs="Helvetica"/>
          <w:color w:val="333333"/>
          <w:sz w:val="24"/>
          <w:szCs w:val="24"/>
          <w:shd w:val="clear" w:color="auto" w:fill="F5F5F5"/>
        </w:rPr>
        <w:t>国网江西省电力有限公司220kV梧岗变设备综合改造</w:t>
      </w:r>
    </w:p>
    <w:p>
      <w:pPr>
        <w:widowControl/>
        <w:shd w:val="clear" w:color="auto" w:fill="FFFFFF"/>
        <w:spacing w:line="375" w:lineRule="atLeast"/>
        <w:ind w:firstLine="480" w:firstLineChars="200"/>
        <w:jc w:val="left"/>
        <w:rPr>
          <w:rFonts w:ascii="Helvetica" w:hAnsi="Helvetica" w:cs="Helvetica"/>
          <w:color w:val="333333"/>
          <w:sz w:val="24"/>
          <w:szCs w:val="24"/>
          <w:shd w:val="clear" w:color="auto" w:fill="FFFFFF"/>
        </w:rPr>
      </w:pPr>
      <w:r>
        <w:rPr>
          <w:rFonts w:ascii="Helvetica" w:hAnsi="Helvetica" w:cs="Helvetica"/>
          <w:color w:val="333333"/>
          <w:sz w:val="24"/>
          <w:szCs w:val="24"/>
          <w:shd w:val="clear" w:color="auto" w:fill="FFFFFF"/>
        </w:rPr>
        <w:t>国网南昌供电公司（含所辖县公司）2019年生产技改大修项目</w:t>
      </w:r>
    </w:p>
    <w:p>
      <w:pPr>
        <w:widowControl/>
        <w:shd w:val="clear" w:color="auto" w:fill="FFFFFF"/>
        <w:spacing w:line="375" w:lineRule="atLeast"/>
        <w:ind w:firstLine="480" w:firstLineChars="200"/>
        <w:jc w:val="left"/>
        <w:rPr>
          <w:rFonts w:ascii="Helvetica" w:hAnsi="Helvetica" w:cs="Helvetica"/>
          <w:color w:val="333333"/>
          <w:sz w:val="24"/>
          <w:szCs w:val="24"/>
          <w:shd w:val="clear" w:color="auto" w:fill="F5F5F5"/>
        </w:rPr>
      </w:pPr>
      <w:r>
        <w:rPr>
          <w:rFonts w:ascii="Helvetica" w:hAnsi="Helvetica" w:cs="Helvetica"/>
          <w:color w:val="333333"/>
          <w:sz w:val="24"/>
          <w:szCs w:val="24"/>
          <w:shd w:val="clear" w:color="auto" w:fill="F5F5F5"/>
        </w:rPr>
        <w:t>国网江西南昌供电公司220kV南蒋I、II线OPGW光缆改造等6个新增技改工程监理合同</w:t>
      </w:r>
    </w:p>
    <w:p>
      <w:pPr>
        <w:widowControl/>
        <w:shd w:val="clear" w:color="auto" w:fill="FFFFFF"/>
        <w:spacing w:line="375" w:lineRule="atLeast"/>
        <w:ind w:firstLine="480" w:firstLineChars="200"/>
        <w:jc w:val="left"/>
        <w:rPr>
          <w:rFonts w:ascii="Helvetica" w:hAnsi="Helvetica" w:cs="Helvetica"/>
          <w:color w:val="333333"/>
          <w:sz w:val="24"/>
          <w:szCs w:val="24"/>
          <w:shd w:val="clear" w:color="auto" w:fill="FFFFFF"/>
        </w:rPr>
      </w:pPr>
      <w:r>
        <w:rPr>
          <w:rFonts w:ascii="Helvetica" w:hAnsi="Helvetica" w:cs="Helvetica"/>
          <w:color w:val="333333"/>
          <w:sz w:val="24"/>
          <w:szCs w:val="24"/>
          <w:shd w:val="clear" w:color="auto" w:fill="FFFFFF"/>
        </w:rPr>
        <w:t>2020年国网江西赣州供电分公司（市县一体）客户侧泛在电力物联网设备物理层适应性升级改造（用电信息采集系统改造）工程</w:t>
      </w:r>
    </w:p>
    <w:p>
      <w:pPr>
        <w:widowControl/>
        <w:shd w:val="clear" w:color="auto" w:fill="FFFFFF"/>
        <w:spacing w:line="375" w:lineRule="atLeast"/>
        <w:ind w:firstLine="480" w:firstLineChars="200"/>
        <w:jc w:val="left"/>
        <w:rPr>
          <w:rFonts w:ascii="Helvetica" w:hAnsi="Helvetica" w:cs="Helvetica"/>
          <w:color w:val="333333"/>
          <w:sz w:val="24"/>
          <w:szCs w:val="24"/>
          <w:shd w:val="clear" w:color="auto" w:fill="FFFFFF"/>
        </w:rPr>
      </w:pPr>
      <w:r>
        <w:rPr>
          <w:rFonts w:ascii="Helvetica" w:hAnsi="Helvetica" w:cs="Helvetica"/>
          <w:color w:val="333333"/>
          <w:sz w:val="24"/>
          <w:szCs w:val="24"/>
          <w:shd w:val="clear" w:color="auto" w:fill="FFFFFF"/>
        </w:rPr>
        <w:t>国网江西南昌供电公司行政会议电视系统高清改造等3个项目</w:t>
      </w:r>
    </w:p>
    <w:p>
      <w:pPr>
        <w:widowControl/>
        <w:shd w:val="clear" w:color="auto" w:fill="FFFFFF"/>
        <w:spacing w:line="375" w:lineRule="atLeast"/>
        <w:ind w:firstLine="480" w:firstLineChars="200"/>
        <w:jc w:val="left"/>
        <w:rPr>
          <w:rFonts w:hint="eastAsia" w:ascii="Helvetica" w:hAnsi="Helvetica" w:cs="Helvetica"/>
          <w:color w:val="333333"/>
          <w:sz w:val="24"/>
          <w:szCs w:val="24"/>
          <w:shd w:val="clear" w:color="auto" w:fill="FFFFFF"/>
        </w:rPr>
      </w:pPr>
      <w:r>
        <w:rPr>
          <w:rFonts w:hint="eastAsia" w:ascii="Helvetica" w:hAnsi="Helvetica" w:cs="Helvetica"/>
          <w:color w:val="333333"/>
          <w:sz w:val="24"/>
          <w:szCs w:val="24"/>
          <w:shd w:val="clear" w:color="auto" w:fill="FFFFFF"/>
        </w:rPr>
        <w:t>等等</w:t>
      </w:r>
    </w:p>
    <w:p>
      <w:pPr>
        <w:widowControl/>
        <w:shd w:val="clear" w:color="auto" w:fill="FFFFFF"/>
        <w:spacing w:line="375" w:lineRule="atLeast"/>
        <w:ind w:firstLine="420" w:firstLineChars="200"/>
        <w:jc w:val="left"/>
        <w:rPr>
          <w:rFonts w:hint="eastAsia" w:ascii="Helvetica" w:hAnsi="Helvetica" w:cs="Helvetica"/>
          <w:color w:val="333333"/>
          <w:szCs w:val="21"/>
          <w:shd w:val="clear" w:color="auto" w:fill="FFFFFF"/>
        </w:rPr>
      </w:pPr>
    </w:p>
    <w:p>
      <w:pPr>
        <w:widowControl/>
        <w:shd w:val="clear" w:color="auto" w:fill="FFFFFF"/>
        <w:spacing w:line="375" w:lineRule="atLeast"/>
        <w:ind w:firstLine="420" w:firstLineChars="200"/>
        <w:jc w:val="left"/>
        <w:rPr>
          <w:rFonts w:hint="eastAsia" w:ascii="Helvetica" w:hAnsi="Helvetica" w:cs="Helvetica"/>
          <w:color w:val="333333"/>
          <w:szCs w:val="21"/>
          <w:shd w:val="clear" w:color="auto" w:fill="FFFFFF"/>
        </w:rPr>
      </w:pPr>
    </w:p>
    <w:p>
      <w:pPr>
        <w:widowControl/>
        <w:shd w:val="clear" w:color="auto" w:fill="FFFFFF"/>
        <w:spacing w:line="375" w:lineRule="atLeast"/>
        <w:ind w:firstLine="420" w:firstLineChars="200"/>
        <w:jc w:val="left"/>
        <w:rPr>
          <w:rFonts w:hint="eastAsia" w:ascii="Helvetica" w:hAnsi="Helvetica" w:cs="Helvetica"/>
          <w:color w:val="333333"/>
          <w:szCs w:val="21"/>
          <w:shd w:val="clear" w:color="auto" w:fill="FFFFFF"/>
        </w:rPr>
      </w:pPr>
    </w:p>
    <w:p>
      <w:pPr>
        <w:widowControl/>
        <w:shd w:val="clear" w:color="auto" w:fill="FFFFFF"/>
        <w:spacing w:line="375" w:lineRule="atLeast"/>
        <w:ind w:firstLine="480" w:firstLineChars="200"/>
        <w:jc w:val="left"/>
        <w:rPr>
          <w:rFonts w:ascii="宋体" w:hAnsi="宋体" w:eastAsia="宋体" w:cs="宋体"/>
          <w:color w:val="333333"/>
          <w:kern w:val="0"/>
          <w:sz w:val="24"/>
          <w:szCs w:val="24"/>
        </w:rPr>
      </w:pPr>
      <w:r>
        <w:rPr>
          <w:rFonts w:ascii="宋体" w:hAnsi="宋体" w:eastAsia="宋体" w:cs="宋体"/>
          <w:color w:val="333333"/>
          <w:kern w:val="0"/>
          <w:sz w:val="24"/>
          <w:szCs w:val="24"/>
        </w:rPr>
        <w:t>基于</w:t>
      </w:r>
      <w:r>
        <w:rPr>
          <w:rFonts w:hint="eastAsia" w:ascii="宋体" w:hAnsi="宋体" w:eastAsia="宋体" w:cs="宋体"/>
          <w:color w:val="333333"/>
          <w:kern w:val="0"/>
          <w:sz w:val="24"/>
          <w:szCs w:val="24"/>
        </w:rPr>
        <w:t>公司监理业务的发展，</w:t>
      </w:r>
      <w:r>
        <w:rPr>
          <w:rFonts w:ascii="宋体" w:hAnsi="宋体" w:eastAsia="宋体" w:cs="宋体"/>
          <w:color w:val="333333"/>
          <w:kern w:val="0"/>
          <w:sz w:val="24"/>
          <w:szCs w:val="24"/>
        </w:rPr>
        <w:t>特招聘从事</w:t>
      </w:r>
      <w:r>
        <w:rPr>
          <w:rFonts w:hint="eastAsia" w:ascii="宋体" w:hAnsi="宋体" w:eastAsia="宋体" w:cs="宋体"/>
          <w:color w:val="333333"/>
          <w:kern w:val="0"/>
          <w:sz w:val="24"/>
          <w:szCs w:val="24"/>
        </w:rPr>
        <w:t>工程监理</w:t>
      </w:r>
      <w:r>
        <w:rPr>
          <w:rFonts w:ascii="宋体" w:hAnsi="宋体" w:eastAsia="宋体" w:cs="宋体"/>
          <w:color w:val="333333"/>
          <w:kern w:val="0"/>
          <w:sz w:val="24"/>
          <w:szCs w:val="24"/>
        </w:rPr>
        <w:t>的业务人员，具体要求如下：</w:t>
      </w:r>
    </w:p>
    <w:tbl>
      <w:tblPr>
        <w:tblStyle w:val="8"/>
        <w:tblW w:w="9340" w:type="dxa"/>
        <w:tblInd w:w="93" w:type="dxa"/>
        <w:tblLayout w:type="autofit"/>
        <w:tblCellMar>
          <w:top w:w="0" w:type="dxa"/>
          <w:left w:w="108" w:type="dxa"/>
          <w:bottom w:w="0" w:type="dxa"/>
          <w:right w:w="108" w:type="dxa"/>
        </w:tblCellMar>
      </w:tblPr>
      <w:tblGrid>
        <w:gridCol w:w="1560"/>
        <w:gridCol w:w="1320"/>
        <w:gridCol w:w="1388"/>
        <w:gridCol w:w="5072"/>
      </w:tblGrid>
      <w:tr>
        <w:tblPrEx>
          <w:tblCellMar>
            <w:top w:w="0" w:type="dxa"/>
            <w:left w:w="108" w:type="dxa"/>
            <w:bottom w:w="0" w:type="dxa"/>
            <w:right w:w="108" w:type="dxa"/>
          </w:tblCellMar>
        </w:tblPrEx>
        <w:trPr>
          <w:trHeight w:val="570" w:hRule="atLeast"/>
        </w:trPr>
        <w:tc>
          <w:tcPr>
            <w:tcW w:w="1560"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岗位</w:t>
            </w:r>
          </w:p>
        </w:tc>
        <w:tc>
          <w:tcPr>
            <w:tcW w:w="1320"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学历要求</w:t>
            </w:r>
          </w:p>
        </w:tc>
        <w:tc>
          <w:tcPr>
            <w:tcW w:w="1388"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人数需求</w:t>
            </w:r>
          </w:p>
        </w:tc>
        <w:tc>
          <w:tcPr>
            <w:tcW w:w="5072" w:type="dxa"/>
            <w:tcBorders>
              <w:top w:val="single" w:color="auto" w:sz="4" w:space="0"/>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专业要求</w:t>
            </w:r>
          </w:p>
        </w:tc>
      </w:tr>
      <w:tr>
        <w:tblPrEx>
          <w:tblCellMar>
            <w:top w:w="0" w:type="dxa"/>
            <w:left w:w="108" w:type="dxa"/>
            <w:bottom w:w="0" w:type="dxa"/>
            <w:right w:w="108" w:type="dxa"/>
          </w:tblCellMar>
        </w:tblPrEx>
        <w:trPr>
          <w:trHeight w:val="570" w:hRule="atLeast"/>
        </w:trPr>
        <w:tc>
          <w:tcPr>
            <w:tcW w:w="156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工程监理</w:t>
            </w:r>
          </w:p>
        </w:tc>
        <w:tc>
          <w:tcPr>
            <w:tcW w:w="132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专科及以上</w:t>
            </w:r>
          </w:p>
        </w:tc>
        <w:tc>
          <w:tcPr>
            <w:tcW w:w="1388"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10</w:t>
            </w:r>
          </w:p>
        </w:tc>
        <w:tc>
          <w:tcPr>
            <w:tcW w:w="5072"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eastAsia="宋体" w:cs="宋体"/>
                <w:color w:val="000000"/>
                <w:kern w:val="0"/>
                <w:sz w:val="24"/>
                <w:szCs w:val="24"/>
              </w:rPr>
            </w:pPr>
            <w:r>
              <w:rPr>
                <w:rFonts w:hint="eastAsia" w:ascii="宋体" w:hAnsi="宋体" w:eastAsia="宋体" w:cs="宋体"/>
                <w:color w:val="000000"/>
                <w:kern w:val="0"/>
                <w:sz w:val="24"/>
                <w:szCs w:val="24"/>
              </w:rPr>
              <w:t>电力等相关专业</w:t>
            </w:r>
          </w:p>
        </w:tc>
      </w:tr>
    </w:tbl>
    <w:p>
      <w:pPr>
        <w:widowControl/>
        <w:shd w:val="clear" w:color="auto" w:fill="FFFFFF"/>
        <w:spacing w:line="375" w:lineRule="atLeast"/>
        <w:jc w:val="left"/>
        <w:rPr>
          <w:rFonts w:ascii="宋体" w:hAnsi="宋体" w:eastAsia="宋体" w:cs="宋体"/>
          <w:color w:val="333333"/>
          <w:kern w:val="0"/>
          <w:sz w:val="24"/>
          <w:szCs w:val="24"/>
        </w:rPr>
      </w:pP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任职要求：</w:t>
      </w: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1.专科及以上学历；</w:t>
      </w: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2.熟练掌握普通话；</w:t>
      </w: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 xml:space="preserve">3.具备良好的沟通、协调和组织能力，学生干部优先； </w:t>
      </w: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4.能够熟练使用Office办公软件；</w:t>
      </w: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 xml:space="preserve">5.身体健康，无不良嗜好； </w:t>
      </w: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 xml:space="preserve">6.较好的文字表达能力，能够处理总结、报告等应用型公文。 </w:t>
      </w:r>
    </w:p>
    <w:p>
      <w:pPr>
        <w:widowControl/>
        <w:shd w:val="clear" w:color="auto" w:fill="FFFFFF"/>
        <w:spacing w:line="375" w:lineRule="atLeast"/>
        <w:jc w:val="left"/>
        <w:rPr>
          <w:rFonts w:ascii="宋体" w:hAnsi="宋体" w:eastAsia="宋体" w:cs="宋体"/>
          <w:color w:val="333333"/>
          <w:kern w:val="0"/>
          <w:sz w:val="24"/>
          <w:szCs w:val="24"/>
        </w:rPr>
      </w:pPr>
    </w:p>
    <w:p>
      <w:pPr>
        <w:widowControl/>
        <w:shd w:val="clear" w:color="auto" w:fill="FFFFFF"/>
        <w:spacing w:line="375" w:lineRule="atLeast"/>
        <w:jc w:val="left"/>
        <w:rPr>
          <w:rFonts w:ascii="宋体" w:hAnsi="宋体" w:eastAsia="宋体" w:cs="宋体"/>
          <w:color w:val="333333"/>
          <w:kern w:val="0"/>
          <w:sz w:val="24"/>
          <w:szCs w:val="24"/>
        </w:rPr>
      </w:pPr>
      <w:r>
        <w:rPr>
          <w:rFonts w:ascii="宋体" w:hAnsi="宋体" w:eastAsia="宋体" w:cs="宋体"/>
          <w:color w:val="333333"/>
          <w:kern w:val="0"/>
          <w:sz w:val="24"/>
          <w:szCs w:val="24"/>
        </w:rPr>
        <w:t>薪资待遇</w:t>
      </w:r>
    </w:p>
    <w:p>
      <w:pPr>
        <w:widowControl/>
        <w:shd w:val="clear" w:color="auto" w:fill="FFFFFF"/>
        <w:spacing w:line="375" w:lineRule="atLeast"/>
        <w:jc w:val="left"/>
        <w:outlineLvl w:val="0"/>
        <w:rPr>
          <w:rFonts w:ascii="宋体" w:hAnsi="宋体" w:eastAsia="宋体" w:cs="宋体"/>
          <w:color w:val="333333"/>
          <w:kern w:val="0"/>
          <w:sz w:val="24"/>
          <w:szCs w:val="24"/>
        </w:rPr>
      </w:pPr>
      <w:r>
        <w:rPr>
          <w:rFonts w:ascii="宋体" w:hAnsi="宋体" w:eastAsia="宋体" w:cs="宋体"/>
          <w:color w:val="333333"/>
          <w:kern w:val="0"/>
          <w:sz w:val="24"/>
          <w:szCs w:val="24"/>
        </w:rPr>
        <w:t>1、国企</w:t>
      </w:r>
      <w:r>
        <w:rPr>
          <w:rFonts w:hint="eastAsia" w:ascii="宋体" w:hAnsi="宋体" w:eastAsia="宋体" w:cs="宋体"/>
          <w:color w:val="333333"/>
          <w:kern w:val="0"/>
          <w:sz w:val="24"/>
          <w:szCs w:val="24"/>
        </w:rPr>
        <w:t>；购买养老保险、医疗保险、工伤保险、失业保险、生育保险和公积金；享受年休假（带薪）、</w:t>
      </w:r>
      <w:r>
        <w:rPr>
          <w:rFonts w:ascii="宋体" w:hAnsi="宋体" w:eastAsia="宋体" w:cs="宋体"/>
          <w:color w:val="333333"/>
          <w:kern w:val="0"/>
          <w:sz w:val="24"/>
          <w:szCs w:val="24"/>
        </w:rPr>
        <w:t>法定节假日、周末双休；</w:t>
      </w:r>
    </w:p>
    <w:p>
      <w:pPr>
        <w:widowControl/>
        <w:shd w:val="clear" w:color="auto" w:fill="FFFFFF"/>
        <w:spacing w:line="375" w:lineRule="atLeast"/>
        <w:jc w:val="left"/>
        <w:rPr>
          <w:rFonts w:ascii="宋体" w:hAnsi="宋体" w:eastAsia="宋体" w:cs="宋体"/>
          <w:color w:val="333333"/>
          <w:kern w:val="0"/>
          <w:sz w:val="24"/>
          <w:szCs w:val="24"/>
        </w:rPr>
      </w:pPr>
      <w:r>
        <w:rPr>
          <w:rFonts w:ascii="宋体" w:hAnsi="宋体" w:eastAsia="宋体" w:cs="宋体"/>
          <w:color w:val="333333"/>
          <w:kern w:val="0"/>
          <w:sz w:val="24"/>
          <w:szCs w:val="24"/>
        </w:rPr>
        <w:t>2、出工补贴、交通补贴、生活补贴、电话费补贴、免费单身宿舍、年终奖；</w:t>
      </w:r>
    </w:p>
    <w:p>
      <w:pPr>
        <w:widowControl/>
        <w:shd w:val="clear" w:color="auto" w:fill="FFFFFF"/>
        <w:spacing w:line="375" w:lineRule="atLeast"/>
        <w:jc w:val="left"/>
        <w:rPr>
          <w:rFonts w:ascii="宋体" w:hAnsi="宋体" w:eastAsia="宋体" w:cs="宋体"/>
          <w:color w:val="333333"/>
          <w:kern w:val="0"/>
          <w:sz w:val="24"/>
          <w:szCs w:val="24"/>
        </w:rPr>
      </w:pPr>
      <w:r>
        <w:rPr>
          <w:rFonts w:ascii="宋体" w:hAnsi="宋体" w:eastAsia="宋体" w:cs="宋体"/>
          <w:color w:val="333333"/>
          <w:kern w:val="0"/>
          <w:sz w:val="24"/>
          <w:szCs w:val="24"/>
        </w:rPr>
        <w:t>3、</w:t>
      </w:r>
      <w:r>
        <w:rPr>
          <w:rFonts w:hint="eastAsia" w:ascii="宋体" w:hAnsi="宋体" w:eastAsia="宋体" w:cs="宋体"/>
          <w:color w:val="333333"/>
          <w:kern w:val="0"/>
          <w:sz w:val="24"/>
          <w:szCs w:val="24"/>
        </w:rPr>
        <w:t>根据考核定岗定薪、确保薪酬逐年调升；正式入职后，第一年年薪</w:t>
      </w:r>
      <w:r>
        <w:rPr>
          <w:rFonts w:ascii="宋体" w:hAnsi="宋体" w:eastAsia="宋体" w:cs="宋体"/>
          <w:color w:val="333333"/>
          <w:kern w:val="0"/>
          <w:sz w:val="24"/>
          <w:szCs w:val="24"/>
        </w:rPr>
        <w:t>4</w:t>
      </w:r>
      <w:r>
        <w:rPr>
          <w:rFonts w:hint="eastAsia" w:ascii="宋体" w:hAnsi="宋体" w:eastAsia="宋体" w:cs="宋体"/>
          <w:color w:val="333333"/>
          <w:kern w:val="0"/>
          <w:sz w:val="24"/>
          <w:szCs w:val="24"/>
        </w:rPr>
        <w:t>-6万</w:t>
      </w:r>
      <w:r>
        <w:rPr>
          <w:rFonts w:ascii="宋体" w:hAnsi="宋体" w:eastAsia="宋体" w:cs="宋体"/>
          <w:color w:val="333333"/>
          <w:kern w:val="0"/>
          <w:sz w:val="24"/>
          <w:szCs w:val="24"/>
        </w:rPr>
        <w:t>；</w:t>
      </w:r>
    </w:p>
    <w:p>
      <w:pPr>
        <w:widowControl/>
        <w:shd w:val="clear" w:color="auto" w:fill="FFFFFF"/>
        <w:spacing w:line="375" w:lineRule="atLeast"/>
        <w:jc w:val="left"/>
        <w:rPr>
          <w:rFonts w:ascii="宋体" w:hAnsi="宋体" w:eastAsia="宋体" w:cs="宋体"/>
          <w:color w:val="333333"/>
          <w:kern w:val="0"/>
          <w:sz w:val="24"/>
          <w:szCs w:val="24"/>
        </w:rPr>
      </w:pP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工作地点</w:t>
      </w:r>
    </w:p>
    <w:p>
      <w:pPr>
        <w:widowControl/>
        <w:shd w:val="clear" w:color="auto" w:fill="FFFFFF"/>
        <w:spacing w:line="375" w:lineRule="atLeast"/>
        <w:jc w:val="left"/>
        <w:rPr>
          <w:rFonts w:ascii="宋体" w:hAnsi="宋体" w:eastAsia="宋体" w:cs="宋体"/>
          <w:color w:val="333333"/>
          <w:kern w:val="0"/>
          <w:sz w:val="24"/>
          <w:szCs w:val="24"/>
        </w:rPr>
      </w:pPr>
      <w:r>
        <w:rPr>
          <w:rFonts w:hint="eastAsia" w:ascii="宋体" w:hAnsi="宋体" w:eastAsia="宋体" w:cs="宋体"/>
          <w:color w:val="333333"/>
          <w:kern w:val="0"/>
          <w:sz w:val="24"/>
          <w:szCs w:val="24"/>
        </w:rPr>
        <w:t>江西省</w:t>
      </w:r>
      <w:r>
        <w:rPr>
          <w:rFonts w:ascii="宋体" w:hAnsi="宋体" w:eastAsia="宋体" w:cs="宋体"/>
          <w:color w:val="333333"/>
          <w:kern w:val="0"/>
          <w:sz w:val="24"/>
          <w:szCs w:val="24"/>
        </w:rPr>
        <w:t>区域内各地市</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zN2UyYWY1OTUyYzA4NzUxNDYyODhiNDA3NzNhNzMifQ=="/>
  </w:docVars>
  <w:rsids>
    <w:rsidRoot w:val="008B6D18"/>
    <w:rsid w:val="000B5480"/>
    <w:rsid w:val="000C17AB"/>
    <w:rsid w:val="000D399B"/>
    <w:rsid w:val="000F4402"/>
    <w:rsid w:val="00105CD6"/>
    <w:rsid w:val="00130C21"/>
    <w:rsid w:val="001516DE"/>
    <w:rsid w:val="00301048"/>
    <w:rsid w:val="0032215C"/>
    <w:rsid w:val="0039429B"/>
    <w:rsid w:val="00395E3B"/>
    <w:rsid w:val="00504FE1"/>
    <w:rsid w:val="00534049"/>
    <w:rsid w:val="00612861"/>
    <w:rsid w:val="006F0B92"/>
    <w:rsid w:val="007F2B3D"/>
    <w:rsid w:val="008B6D18"/>
    <w:rsid w:val="00A169C4"/>
    <w:rsid w:val="00A53643"/>
    <w:rsid w:val="00BC3E45"/>
    <w:rsid w:val="00C102FE"/>
    <w:rsid w:val="00C6300E"/>
    <w:rsid w:val="00D14A3F"/>
    <w:rsid w:val="00D70C68"/>
    <w:rsid w:val="00E9604E"/>
    <w:rsid w:val="00EC75BB"/>
    <w:rsid w:val="00EF007E"/>
    <w:rsid w:val="00EF5E5C"/>
    <w:rsid w:val="00F1538E"/>
    <w:rsid w:val="00FA0DB0"/>
    <w:rsid w:val="00FE3535"/>
    <w:rsid w:val="00FE63E4"/>
    <w:rsid w:val="434D021C"/>
    <w:rsid w:val="51660BDA"/>
    <w:rsid w:val="5280435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link w:val="12"/>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13"/>
    <w:semiHidden/>
    <w:unhideWhenUsed/>
    <w:qFormat/>
    <w:uiPriority w:val="99"/>
    <w:rPr>
      <w:rFonts w:ascii="宋体" w:eastAsia="宋体"/>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0">
    <w:name w:val="页眉 字符"/>
    <w:basedOn w:val="9"/>
    <w:link w:val="6"/>
    <w:uiPriority w:val="99"/>
    <w:rPr>
      <w:sz w:val="18"/>
      <w:szCs w:val="18"/>
    </w:rPr>
  </w:style>
  <w:style w:type="character" w:customStyle="1" w:styleId="11">
    <w:name w:val="页脚 字符"/>
    <w:basedOn w:val="9"/>
    <w:link w:val="5"/>
    <w:uiPriority w:val="99"/>
    <w:rPr>
      <w:sz w:val="18"/>
      <w:szCs w:val="18"/>
    </w:rPr>
  </w:style>
  <w:style w:type="character" w:customStyle="1" w:styleId="12">
    <w:name w:val="标题 2 字符"/>
    <w:basedOn w:val="9"/>
    <w:link w:val="3"/>
    <w:qFormat/>
    <w:uiPriority w:val="9"/>
    <w:rPr>
      <w:rFonts w:ascii="宋体" w:hAnsi="宋体" w:eastAsia="宋体" w:cs="宋体"/>
      <w:b/>
      <w:bCs/>
      <w:kern w:val="0"/>
      <w:sz w:val="36"/>
      <w:szCs w:val="36"/>
    </w:rPr>
  </w:style>
  <w:style w:type="character" w:customStyle="1" w:styleId="13">
    <w:name w:val="文档结构图 字符"/>
    <w:basedOn w:val="9"/>
    <w:link w:val="4"/>
    <w:semiHidden/>
    <w:qFormat/>
    <w:uiPriority w:val="99"/>
    <w:rPr>
      <w:rFonts w:ascii="宋体" w:eastAsia="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Win7w.Com</Company>
  <Pages>2</Pages>
  <Words>170</Words>
  <Characters>975</Characters>
  <Lines>8</Lines>
  <Paragraphs>2</Paragraphs>
  <TotalTime>6</TotalTime>
  <ScaleCrop>false</ScaleCrop>
  <LinksUpToDate>false</LinksUpToDate>
  <CharactersWithSpaces>1143</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2020-12-07T01:12:00Z</dcterms:created>
  <dc:creator>Win7w</dc:creator>
  <cp:lastModifiedBy>边記</cp:lastModifiedBy>
  <cp:lastPrinted>2023-10-20T11:22:10Z</cp:lastPrinted>
  <dcterms:modified xsi:type="dcterms:W3CDTF">2023-10-20T11:22:46Z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4679B474F9F941DC95A1CF4D0DF63FA7_12</vt:lpwstr>
  </property>
</Properties>
</file>