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4" w:line="440" w:lineRule="exact"/>
        <w:jc w:val="center"/>
        <w:rPr>
          <w:rFonts w:hint="eastAsia" w:ascii="宋体" w:hAnsi="宋体" w:eastAsia="宋体" w:cs="宋体"/>
          <w:b/>
          <w:bCs/>
          <w:color w:val="000000" w:themeColor="text1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8"/>
          <w:szCs w:val="48"/>
        </w:rPr>
        <w:t>九江萍钢钢铁有限公司（热电厂）</w:t>
      </w:r>
      <w:bookmarkStart w:id="0" w:name="_GoBack"/>
      <w:bookmarkEnd w:id="0"/>
    </w:p>
    <w:p>
      <w:pPr>
        <w:spacing w:before="214" w:line="440" w:lineRule="exact"/>
        <w:jc w:val="center"/>
        <w:rPr>
          <w:rFonts w:hint="eastAsia" w:ascii="宋体" w:hAnsi="宋体" w:eastAsia="宋体" w:cs="宋体"/>
          <w:b/>
          <w:bCs/>
          <w:color w:val="000000" w:themeColor="text1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8"/>
          <w:szCs w:val="48"/>
        </w:rPr>
        <w:t>招聘</w:t>
      </w:r>
      <w:r>
        <w:rPr>
          <w:rFonts w:hint="eastAsia" w:ascii="宋体" w:hAnsi="宋体" w:eastAsia="宋体" w:cs="宋体"/>
          <w:b/>
          <w:bCs/>
          <w:color w:val="000000" w:themeColor="text1"/>
          <w:sz w:val="48"/>
          <w:szCs w:val="48"/>
          <w:lang w:val="en-US" w:eastAsia="zh-CN"/>
        </w:rPr>
        <w:t>简章</w:t>
      </w:r>
    </w:p>
    <w:p>
      <w:pPr>
        <w:spacing w:before="214" w:line="440" w:lineRule="exact"/>
        <w:jc w:val="left"/>
        <w:rPr>
          <w:rFonts w:hint="eastAsia" w:ascii="宋体" w:hAnsi="宋体" w:eastAsia="宋体" w:cs="宋体"/>
          <w:b/>
          <w:bCs/>
          <w:color w:val="000000" w:themeColor="text1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0"/>
          <w:szCs w:val="40"/>
          <w:lang w:val="en-US" w:eastAsia="zh-CN"/>
        </w:rPr>
        <w:t>公司简介：</w:t>
      </w:r>
    </w:p>
    <w:p>
      <w:pPr>
        <w:kinsoku/>
        <w:overflowPunct w:val="0"/>
        <w:spacing w:line="400" w:lineRule="exact"/>
        <w:ind w:firstLine="700" w:firstLineChars="200"/>
        <w:jc w:val="both"/>
        <w:rPr>
          <w:rFonts w:ascii="仿宋" w:hAnsi="仿宋" w:eastAsia="仿宋" w:cs="仿宋"/>
          <w:color w:val="000000" w:themeColor="text1"/>
          <w:spacing w:val="15"/>
          <w:sz w:val="32"/>
          <w:szCs w:val="32"/>
        </w:rPr>
      </w:pPr>
      <w:r>
        <w:rPr>
          <w:rFonts w:ascii="仿宋" w:hAnsi="仿宋" w:eastAsia="仿宋" w:cs="仿宋"/>
          <w:color w:val="000000" w:themeColor="text1"/>
          <w:spacing w:val="15"/>
          <w:sz w:val="32"/>
          <w:szCs w:val="32"/>
        </w:rPr>
        <w:t>辽</w:t>
      </w:r>
      <w:r>
        <w:rPr>
          <w:rFonts w:ascii="仿宋" w:hAnsi="仿宋" w:eastAsia="仿宋" w:cs="仿宋"/>
          <w:color w:val="000000" w:themeColor="text1"/>
          <w:spacing w:val="11"/>
          <w:sz w:val="32"/>
          <w:szCs w:val="32"/>
        </w:rPr>
        <w:t>宁方大集团实业有限公司（简称“方大集团”）是一</w:t>
      </w:r>
      <w:r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  <w:t>家以炭素、钢铁、医药、商业、航空五大板块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为核心的跨行</w:t>
      </w:r>
      <w:r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  <w:t>业、跨地区、多元化、具有较强国际竞争实力的大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型企业集</w:t>
      </w:r>
      <w:r>
        <w:rPr>
          <w:rFonts w:ascii="仿宋" w:hAnsi="仿宋" w:eastAsia="仿宋" w:cs="仿宋"/>
          <w:color w:val="000000" w:themeColor="text1"/>
          <w:spacing w:val="-2"/>
          <w:sz w:val="32"/>
          <w:szCs w:val="32"/>
        </w:rPr>
        <w:t>团。方大集团所属公司分布于北京、上海、</w:t>
      </w:r>
      <w:r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  <w:t>天津、辽宁、甘肃、江西</w:t>
      </w:r>
      <w:r>
        <w:rPr>
          <w:rFonts w:ascii="仿宋" w:hAnsi="仿宋" w:eastAsia="仿宋" w:cs="仿宋"/>
          <w:color w:val="000000" w:themeColor="text1"/>
          <w:spacing w:val="15"/>
          <w:sz w:val="32"/>
          <w:szCs w:val="32"/>
        </w:rPr>
        <w:t>、四川和海南等三十余个省、市、自治区，拥有员工近13万人。</w:t>
      </w:r>
      <w:r>
        <w:rPr>
          <w:rFonts w:hint="eastAsia" w:ascii="仿宋" w:hAnsi="仿宋" w:eastAsia="仿宋" w:cs="仿宋"/>
          <w:color w:val="000000" w:themeColor="text1"/>
          <w:spacing w:val="15"/>
          <w:sz w:val="32"/>
          <w:szCs w:val="32"/>
        </w:rPr>
        <w:t>近十年，方大集团相关福利政策费用支出超32亿元；近年来，方大集团用于开展公益慈善事业、脱贫攻坚、乡村振兴、履行社会责任等捐款和投入资金累计超过54亿元。</w:t>
      </w:r>
    </w:p>
    <w:p>
      <w:pPr>
        <w:kinsoku/>
        <w:overflowPunct w:val="0"/>
        <w:spacing w:line="400" w:lineRule="exact"/>
        <w:ind w:firstLine="668" w:firstLineChars="200"/>
        <w:jc w:val="both"/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</w:pPr>
      <w:r>
        <w:rPr>
          <w:rFonts w:ascii="仿宋" w:hAnsi="仿宋" w:eastAsia="仿宋" w:cs="仿宋"/>
          <w:color w:val="000000" w:themeColor="text1"/>
          <w:spacing w:val="7"/>
          <w:sz w:val="32"/>
          <w:szCs w:val="32"/>
        </w:rPr>
        <w:t>九</w:t>
      </w:r>
      <w:r>
        <w:rPr>
          <w:rFonts w:ascii="仿宋" w:hAnsi="仿宋" w:eastAsia="仿宋" w:cs="仿宋"/>
          <w:color w:val="000000" w:themeColor="text1"/>
          <w:spacing w:val="5"/>
          <w:sz w:val="32"/>
          <w:szCs w:val="32"/>
        </w:rPr>
        <w:t>江萍钢钢铁有限公司（简称九江钢铁）是方大集团下</w:t>
      </w:r>
      <w:r>
        <w:rPr>
          <w:rFonts w:ascii="仿宋" w:hAnsi="仿宋" w:eastAsia="仿宋" w:cs="仿宋"/>
          <w:color w:val="000000" w:themeColor="text1"/>
          <w:spacing w:val="-10"/>
          <w:sz w:val="32"/>
          <w:szCs w:val="32"/>
        </w:rPr>
        <w:t>属</w:t>
      </w:r>
      <w:r>
        <w:rPr>
          <w:rFonts w:hint="eastAsia" w:ascii="仿宋" w:hAnsi="仿宋" w:eastAsia="仿宋" w:cs="仿宋"/>
          <w:color w:val="000000" w:themeColor="text1"/>
          <w:spacing w:val="-10"/>
          <w:sz w:val="32"/>
          <w:szCs w:val="32"/>
        </w:rPr>
        <w:t>钢铁板块企业</w:t>
      </w:r>
      <w:r>
        <w:rPr>
          <w:rFonts w:ascii="仿宋" w:hAnsi="仿宋" w:eastAsia="仿宋" w:cs="仿宋"/>
          <w:color w:val="000000" w:themeColor="text1"/>
          <w:spacing w:val="-5"/>
          <w:sz w:val="32"/>
          <w:szCs w:val="32"/>
        </w:rPr>
        <w:t>，是一家集烧结、</w:t>
      </w:r>
      <w:r>
        <w:rPr>
          <w:rFonts w:ascii="仿宋" w:hAnsi="仿宋" w:eastAsia="仿宋" w:cs="仿宋"/>
          <w:color w:val="000000" w:themeColor="text1"/>
          <w:spacing w:val="-6"/>
          <w:sz w:val="32"/>
          <w:szCs w:val="32"/>
        </w:rPr>
        <w:t>炼铁、</w:t>
      </w:r>
      <w:r>
        <w:rPr>
          <w:rFonts w:ascii="仿宋" w:hAnsi="仿宋" w:eastAsia="仿宋" w:cs="仿宋"/>
          <w:color w:val="000000" w:themeColor="text1"/>
          <w:spacing w:val="-4"/>
          <w:sz w:val="32"/>
          <w:szCs w:val="32"/>
        </w:rPr>
        <w:t>炼</w:t>
      </w:r>
      <w:r>
        <w:rPr>
          <w:rFonts w:ascii="仿宋" w:hAnsi="仿宋" w:eastAsia="仿宋" w:cs="仿宋"/>
          <w:color w:val="000000" w:themeColor="text1"/>
          <w:spacing w:val="-3"/>
          <w:sz w:val="32"/>
          <w:szCs w:val="32"/>
        </w:rPr>
        <w:t>钢、轧材生产工艺于一体，具有年产钢超550万吨能</w:t>
      </w:r>
      <w:r>
        <w:rPr>
          <w:rFonts w:ascii="仿宋" w:hAnsi="仿宋" w:eastAsia="仿宋" w:cs="仿宋"/>
          <w:color w:val="000000" w:themeColor="text1"/>
          <w:spacing w:val="-12"/>
          <w:sz w:val="32"/>
          <w:szCs w:val="32"/>
        </w:rPr>
        <w:t>力的钢</w:t>
      </w:r>
      <w:r>
        <w:rPr>
          <w:rFonts w:ascii="仿宋" w:hAnsi="仿宋" w:eastAsia="仿宋" w:cs="仿宋"/>
          <w:color w:val="000000" w:themeColor="text1"/>
          <w:spacing w:val="-7"/>
          <w:sz w:val="32"/>
          <w:szCs w:val="32"/>
        </w:rPr>
        <w:t>铁</w:t>
      </w:r>
      <w:r>
        <w:rPr>
          <w:rFonts w:ascii="仿宋" w:hAnsi="仿宋" w:eastAsia="仿宋" w:cs="仿宋"/>
          <w:color w:val="000000" w:themeColor="text1"/>
          <w:spacing w:val="-6"/>
          <w:sz w:val="32"/>
          <w:szCs w:val="32"/>
        </w:rPr>
        <w:t>联合企业，坐落于江西省九江市湖口高新技术产业</w:t>
      </w:r>
      <w:r>
        <w:rPr>
          <w:rFonts w:ascii="仿宋" w:hAnsi="仿宋" w:eastAsia="仿宋" w:cs="仿宋"/>
          <w:color w:val="000000" w:themeColor="text1"/>
          <w:spacing w:val="-17"/>
          <w:sz w:val="32"/>
          <w:szCs w:val="32"/>
        </w:rPr>
        <w:t>园</w:t>
      </w:r>
      <w:r>
        <w:rPr>
          <w:rFonts w:ascii="仿宋" w:hAnsi="仿宋" w:eastAsia="仿宋" w:cs="仿宋"/>
          <w:color w:val="000000" w:themeColor="text1"/>
          <w:spacing w:val="-12"/>
          <w:sz w:val="32"/>
          <w:szCs w:val="32"/>
        </w:rPr>
        <w:t>区，北衔长江黄金水道，西连鄱阳湖口，南靠铜九铁路和九景高</w:t>
      </w:r>
      <w:r>
        <w:rPr>
          <w:rFonts w:ascii="仿宋" w:hAnsi="仿宋" w:eastAsia="仿宋" w:cs="仿宋"/>
          <w:color w:val="000000" w:themeColor="text1"/>
          <w:spacing w:val="-7"/>
          <w:sz w:val="32"/>
          <w:szCs w:val="32"/>
        </w:rPr>
        <w:t>速</w:t>
      </w:r>
      <w:r>
        <w:rPr>
          <w:rFonts w:ascii="仿宋" w:hAnsi="仿宋" w:eastAsia="仿宋" w:cs="仿宋"/>
          <w:color w:val="000000" w:themeColor="text1"/>
          <w:spacing w:val="-6"/>
          <w:sz w:val="32"/>
          <w:szCs w:val="32"/>
        </w:rPr>
        <w:t>，东接彭泽县至安徽省，交通区位优势显著。公司</w:t>
      </w:r>
      <w:r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  <w:t>致力于打造中国最具竞争力的建筑用材精品生产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基地和工业</w:t>
      </w:r>
      <w:r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  <w:t>旅游区。公司坚持改革创新、精细化管理，借助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灵活的“赛</w:t>
      </w:r>
      <w:r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  <w:t>马”机制激发企业活力，全面建设生态森林旅游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式</w:t>
      </w:r>
      <w:r>
        <w:rPr>
          <w:rFonts w:ascii="仿宋" w:hAnsi="仿宋" w:eastAsia="仿宋" w:cs="仿宋"/>
          <w:color w:val="auto"/>
          <w:sz w:val="32"/>
          <w:szCs w:val="32"/>
        </w:rPr>
        <w:t>工厂并获</w:t>
      </w:r>
      <w:r>
        <w:rPr>
          <w:rFonts w:ascii="仿宋" w:hAnsi="仿宋" w:eastAsia="仿宋" w:cs="仿宋"/>
          <w:color w:val="auto"/>
          <w:spacing w:val="-30"/>
          <w:sz w:val="32"/>
          <w:szCs w:val="32"/>
        </w:rPr>
        <w:t>评</w:t>
      </w:r>
      <w:r>
        <w:rPr>
          <w:rFonts w:ascii="仿宋" w:hAnsi="仿宋" w:eastAsia="仿宋" w:cs="仿宋"/>
          <w:color w:val="auto"/>
          <w:spacing w:val="-21"/>
          <w:sz w:val="32"/>
          <w:szCs w:val="32"/>
        </w:rPr>
        <w:t>国</w:t>
      </w:r>
      <w:r>
        <w:rPr>
          <w:rFonts w:ascii="仿宋" w:hAnsi="仿宋" w:eastAsia="仿宋" w:cs="仿宋"/>
          <w:color w:val="auto"/>
          <w:spacing w:val="-15"/>
          <w:sz w:val="32"/>
          <w:szCs w:val="32"/>
        </w:rPr>
        <w:t>家3A级旅游景区，实现了经济、生态、社会效益的多赢</w:t>
      </w:r>
      <w:r>
        <w:rPr>
          <w:rFonts w:ascii="仿宋" w:hAnsi="仿宋" w:eastAsia="仿宋" w:cs="仿宋"/>
          <w:color w:val="000000" w:themeColor="text1"/>
          <w:spacing w:val="-15"/>
          <w:sz w:val="32"/>
          <w:szCs w:val="32"/>
        </w:rPr>
        <w:t>。</w:t>
      </w:r>
      <w:r>
        <w:rPr>
          <w:rFonts w:ascii="仿宋" w:hAnsi="仿宋" w:eastAsia="仿宋" w:cs="仿宋"/>
          <w:color w:val="000000" w:themeColor="text1"/>
          <w:spacing w:val="-14"/>
          <w:sz w:val="32"/>
          <w:szCs w:val="32"/>
        </w:rPr>
        <w:t>公</w:t>
      </w:r>
      <w:r>
        <w:rPr>
          <w:rFonts w:ascii="仿宋" w:hAnsi="仿宋" w:eastAsia="仿宋" w:cs="仿宋"/>
          <w:color w:val="000000" w:themeColor="text1"/>
          <w:spacing w:val="-8"/>
          <w:sz w:val="32"/>
          <w:szCs w:val="32"/>
        </w:rPr>
        <w:t>司202</w:t>
      </w:r>
      <w:r>
        <w:rPr>
          <w:rFonts w:hint="eastAsia" w:ascii="仿宋" w:hAnsi="仿宋" w:eastAsia="仿宋" w:cs="仿宋"/>
          <w:color w:val="000000" w:themeColor="text1"/>
          <w:spacing w:val="-8"/>
          <w:sz w:val="32"/>
          <w:szCs w:val="32"/>
        </w:rPr>
        <w:t>2</w:t>
      </w:r>
      <w:r>
        <w:rPr>
          <w:rFonts w:ascii="仿宋" w:hAnsi="仿宋" w:eastAsia="仿宋" w:cs="仿宋"/>
          <w:color w:val="000000" w:themeColor="text1"/>
          <w:spacing w:val="-8"/>
          <w:sz w:val="32"/>
          <w:szCs w:val="32"/>
        </w:rPr>
        <w:t>年实现销售收入超过</w:t>
      </w:r>
      <w:r>
        <w:rPr>
          <w:rFonts w:hint="eastAsia" w:ascii="仿宋" w:hAnsi="仿宋" w:eastAsia="仿宋" w:cs="仿宋"/>
          <w:color w:val="000000" w:themeColor="text1"/>
          <w:spacing w:val="-8"/>
          <w:sz w:val="32"/>
          <w:szCs w:val="32"/>
        </w:rPr>
        <w:t>270</w:t>
      </w:r>
      <w:r>
        <w:rPr>
          <w:rFonts w:ascii="仿宋" w:hAnsi="仿宋" w:eastAsia="仿宋" w:cs="仿宋"/>
          <w:color w:val="000000" w:themeColor="text1"/>
          <w:spacing w:val="-8"/>
          <w:sz w:val="32"/>
          <w:szCs w:val="32"/>
        </w:rPr>
        <w:t>亿元，</w:t>
      </w:r>
      <w:r>
        <w:rPr>
          <w:rFonts w:hint="eastAsia" w:ascii="仿宋" w:hAnsi="仿宋" w:eastAsia="仿宋" w:cs="仿宋"/>
          <w:color w:val="000000" w:themeColor="text1"/>
          <w:spacing w:val="-8"/>
          <w:sz w:val="32"/>
          <w:szCs w:val="32"/>
        </w:rPr>
        <w:t>员工人均年收入12</w:t>
      </w:r>
      <w:r>
        <w:rPr>
          <w:rFonts w:hint="eastAsia" w:ascii="仿宋" w:hAnsi="仿宋" w:eastAsia="仿宋" w:cs="仿宋"/>
          <w:color w:val="000000" w:themeColor="text1"/>
          <w:spacing w:val="-1"/>
          <w:sz w:val="32"/>
          <w:szCs w:val="32"/>
        </w:rPr>
        <w:t>万元左右（不含中高层干部），</w:t>
      </w:r>
      <w:r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  <w:t>企业责任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、诚信的形象受到社</w:t>
      </w:r>
      <w:r>
        <w:rPr>
          <w:rFonts w:ascii="仿宋" w:hAnsi="仿宋" w:eastAsia="仿宋" w:cs="仿宋"/>
          <w:color w:val="000000" w:themeColor="text1"/>
          <w:spacing w:val="-2"/>
          <w:sz w:val="32"/>
          <w:szCs w:val="32"/>
        </w:rPr>
        <w:t>会各界一致好评，社会影响力与美誉度进</w:t>
      </w:r>
      <w:r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  <w:t>一步提升。</w:t>
      </w:r>
    </w:p>
    <w:p>
      <w:pPr>
        <w:spacing w:line="400" w:lineRule="exact"/>
        <w:ind w:firstLine="608" w:firstLineChars="200"/>
        <w:jc w:val="both"/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</w:pPr>
      <w:r>
        <w:rPr>
          <w:rFonts w:ascii="仿宋" w:hAnsi="仿宋" w:eastAsia="仿宋" w:cs="仿宋"/>
          <w:color w:val="000000" w:themeColor="text1"/>
          <w:spacing w:val="-8"/>
          <w:sz w:val="32"/>
          <w:szCs w:val="32"/>
        </w:rPr>
        <w:t>现因企业发展需要，拟招聘202</w:t>
      </w:r>
      <w:r>
        <w:rPr>
          <w:rFonts w:hint="eastAsia" w:ascii="仿宋" w:hAnsi="仿宋" w:eastAsia="仿宋" w:cs="仿宋"/>
          <w:color w:val="000000" w:themeColor="text1"/>
          <w:spacing w:val="-8"/>
          <w:sz w:val="32"/>
          <w:szCs w:val="32"/>
        </w:rPr>
        <w:t>4年全日制应届大专及以上院校毕业生，具体事项如下：</w:t>
      </w:r>
    </w:p>
    <w:tbl>
      <w:tblPr>
        <w:tblStyle w:val="5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3727"/>
        <w:gridCol w:w="1134"/>
        <w:gridCol w:w="2773"/>
        <w:gridCol w:w="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7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72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sz w:val="24"/>
                <w:szCs w:val="24"/>
              </w:rPr>
              <w:t>岗位或专业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277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招聘条件</w:t>
            </w:r>
          </w:p>
        </w:tc>
        <w:tc>
          <w:tcPr>
            <w:tcW w:w="98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775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3727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发电运行技术、供用电技术、发电厂及电力系统、热能动力工程技术、输配电工程技术等电力相关专业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  <w:tc>
          <w:tcPr>
            <w:tcW w:w="2773" w:type="dxa"/>
            <w:vAlign w:val="center"/>
          </w:tcPr>
          <w:p>
            <w:pPr>
              <w:spacing w:line="400" w:lineRule="exact"/>
              <w:textAlignment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28岁以下，大专及以上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，2024年全日制应届毕业生。</w:t>
            </w:r>
          </w:p>
        </w:tc>
        <w:tc>
          <w:tcPr>
            <w:tcW w:w="98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</w:tbl>
    <w:p>
      <w:pPr>
        <w:widowControl w:val="0"/>
        <w:kinsoku/>
        <w:overflowPunct w:val="0"/>
        <w:spacing w:line="400" w:lineRule="exact"/>
        <w:ind w:firstLine="643" w:firstLineChars="200"/>
        <w:jc w:val="both"/>
        <w:rPr>
          <w:rFonts w:ascii="仿宋" w:hAnsi="仿宋" w:eastAsia="仿宋" w:cs="仿宋"/>
          <w:b/>
          <w:bCs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二、报名时间和地点</w:t>
      </w:r>
    </w:p>
    <w:p>
      <w:pPr>
        <w:widowControl w:val="0"/>
        <w:kinsoku/>
        <w:overflowPunct w:val="0"/>
        <w:spacing w:line="40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（一）报名时间：2023年12月20日开始，每天上午8：00～12：00，下午13：30～17：30。</w:t>
      </w:r>
    </w:p>
    <w:p>
      <w:pPr>
        <w:widowControl w:val="0"/>
        <w:kinsoku/>
        <w:overflowPunct w:val="0"/>
        <w:spacing w:line="40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（二）报名地点：江西省九江市湖口高新技术产业园区（金砂湾）九江钢铁办公楼203室，外地人员可通过微信联系报名（计划2023年12月23日上午参加学校招聘会）。</w:t>
      </w:r>
    </w:p>
    <w:p>
      <w:pPr>
        <w:widowControl w:val="0"/>
        <w:kinsoku/>
        <w:overflowPunct w:val="0"/>
        <w:spacing w:line="400" w:lineRule="exact"/>
        <w:ind w:firstLine="643" w:firstLineChars="200"/>
        <w:jc w:val="both"/>
        <w:rPr>
          <w:rFonts w:ascii="仿宋" w:hAnsi="仿宋" w:eastAsia="仿宋"/>
          <w:b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三、录用方式</w:t>
      </w:r>
    </w:p>
    <w:p>
      <w:pPr>
        <w:widowControl w:val="0"/>
        <w:kinsoku/>
        <w:overflowPunct w:val="0"/>
        <w:spacing w:line="40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参加笔试、面试和专业体能测试后择优录取，与公司签订就业协议，毕业后到公司报到（计划在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4年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、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8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月份），体检合格者与公司签订劳动合同，试用期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个月。</w:t>
      </w:r>
    </w:p>
    <w:p>
      <w:pPr>
        <w:widowControl w:val="0"/>
        <w:kinsoku/>
        <w:overflowPunct w:val="0"/>
        <w:spacing w:line="400" w:lineRule="exact"/>
        <w:ind w:firstLine="643" w:firstLineChars="200"/>
        <w:jc w:val="both"/>
        <w:rPr>
          <w:rFonts w:ascii="仿宋" w:hAnsi="仿宋" w:eastAsia="仿宋" w:cs="仿宋"/>
          <w:b/>
          <w:bCs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四、薪酬待遇</w:t>
      </w:r>
    </w:p>
    <w:p>
      <w:pPr>
        <w:widowControl w:val="0"/>
        <w:kinsoku/>
        <w:overflowPunct w:val="0"/>
        <w:spacing w:line="400" w:lineRule="exact"/>
        <w:ind w:firstLine="640" w:firstLineChars="200"/>
        <w:jc w:val="both"/>
        <w:rPr>
          <w:rFonts w:ascii="仿宋" w:hAnsi="仿宋" w:eastAsia="仿宋" w:cs="仿宋"/>
          <w:bCs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按岗位确定薪酬标准，试用期执行同岗位岗薪标准的80%，试用期考核合格转正后按同岗位岗薪标准执行。</w:t>
      </w:r>
    </w:p>
    <w:p>
      <w:pPr>
        <w:widowControl w:val="0"/>
        <w:kinsoku/>
        <w:overflowPunct w:val="0"/>
        <w:spacing w:line="400" w:lineRule="exact"/>
        <w:ind w:firstLine="643" w:firstLineChars="200"/>
        <w:jc w:val="both"/>
        <w:rPr>
          <w:rFonts w:ascii="仿宋" w:hAnsi="仿宋" w:eastAsia="仿宋" w:cs="仿宋"/>
          <w:b/>
          <w:bCs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五、按公司规定享受以下福利待遇</w:t>
      </w:r>
    </w:p>
    <w:p>
      <w:pPr>
        <w:widowControl w:val="0"/>
        <w:kinsoku/>
        <w:overflowPunct w:val="0"/>
        <w:spacing w:line="40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（一）公司依法依规为员工缴纳五险一金。</w:t>
      </w:r>
    </w:p>
    <w:p>
      <w:pPr>
        <w:widowControl w:val="0"/>
        <w:kinsoku/>
        <w:overflowPunct w:val="0"/>
        <w:spacing w:line="40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（二）公司员工按规定享受“基本工资增长”福利和“孝敬父母金”福利。</w:t>
      </w:r>
    </w:p>
    <w:p>
      <w:pPr>
        <w:widowControl w:val="0"/>
        <w:kinsoku/>
        <w:overflowPunct w:val="0"/>
        <w:spacing w:line="40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（三）公司员工及父母、配偶、子女按规定享受医保范围内个人自付部分全额医疗资助报销。</w:t>
      </w:r>
    </w:p>
    <w:p>
      <w:pPr>
        <w:widowControl w:val="0"/>
        <w:kinsoku/>
        <w:overflowPunct w:val="0"/>
        <w:spacing w:line="40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（四）公司设立“方威励志奖学金”，员工子女考入中国前20名或世界前50名大学就读本科按规定给予奖学金和生活费资助。</w:t>
      </w:r>
    </w:p>
    <w:p>
      <w:pPr>
        <w:widowControl w:val="0"/>
        <w:kinsoku/>
        <w:overflowPunct w:val="0"/>
        <w:spacing w:line="40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（五）公司提供免费工作餐、手机话费福利、生日礼物、重大节日福利（端午、中秋、春节福利）。</w:t>
      </w:r>
    </w:p>
    <w:p>
      <w:pPr>
        <w:widowControl w:val="0"/>
        <w:kinsoku/>
        <w:overflowPunct w:val="0"/>
        <w:spacing w:line="40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（六）公司员工每年享受一次免费健康体检和职业健康体检。</w:t>
      </w:r>
    </w:p>
    <w:p>
      <w:pPr>
        <w:widowControl w:val="0"/>
        <w:kinsoku/>
        <w:overflowPunct w:val="0"/>
        <w:spacing w:line="40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（七）公司退休员工具备条件可享受“方大养老金”福利。</w:t>
      </w:r>
    </w:p>
    <w:p>
      <w:pPr>
        <w:widowControl w:val="0"/>
        <w:kinsoku/>
        <w:overflowPunct w:val="0"/>
        <w:spacing w:line="40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（八）其中应届大专及以上院校毕业生安排单人间宿舍，内配空调、彩电、热水器、卫生间等设施；试用期转正后按规定报销到公司路费、入职体检费。</w:t>
      </w:r>
    </w:p>
    <w:p>
      <w:pPr>
        <w:widowControl w:val="0"/>
        <w:kinsoku/>
        <w:overflowPunct w:val="0"/>
        <w:spacing w:line="400" w:lineRule="exact"/>
        <w:ind w:firstLine="643" w:firstLineChars="200"/>
        <w:jc w:val="both"/>
        <w:rPr>
          <w:rFonts w:ascii="仿宋" w:hAnsi="仿宋" w:eastAsia="仿宋" w:cs="仿宋"/>
          <w:b/>
          <w:bCs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欢迎广大符合条件人员踊跃报名</w:t>
      </w:r>
      <w:r>
        <w:rPr>
          <w:rFonts w:ascii="仿宋" w:hAnsi="仿宋" w:eastAsia="仿宋" w:cs="仿宋"/>
          <w:b/>
          <w:bCs/>
          <w:color w:val="000000" w:themeColor="text1"/>
          <w:sz w:val="32"/>
          <w:szCs w:val="32"/>
        </w:rPr>
        <w:t>！</w:t>
      </w:r>
    </w:p>
    <w:p>
      <w:pPr>
        <w:spacing w:line="400" w:lineRule="exact"/>
        <w:jc w:val="center"/>
        <w:rPr>
          <w:rFonts w:ascii="仿宋" w:hAnsi="仿宋" w:eastAsia="仿宋" w:cs="仿宋"/>
          <w:color w:val="000000" w:themeColor="text1"/>
          <w:spacing w:val="-8"/>
          <w:sz w:val="32"/>
          <w:szCs w:val="32"/>
        </w:rPr>
      </w:pPr>
    </w:p>
    <w:p>
      <w:pPr>
        <w:spacing w:line="400" w:lineRule="exact"/>
        <w:jc w:val="center"/>
        <w:rPr>
          <w:rFonts w:ascii="仿宋" w:hAnsi="仿宋" w:eastAsia="仿宋" w:cs="仿宋"/>
          <w:color w:val="000000" w:themeColor="text1"/>
          <w:spacing w:val="-8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pacing w:val="-8"/>
          <w:sz w:val="32"/>
          <w:szCs w:val="32"/>
        </w:rPr>
        <w:t>扫码报名</w:t>
      </w:r>
    </w:p>
    <w:p>
      <w:pPr>
        <w:spacing w:line="360" w:lineRule="auto"/>
        <w:jc w:val="center"/>
        <w:rPr>
          <w:rFonts w:ascii="仿宋" w:hAnsi="仿宋" w:eastAsia="仿宋" w:cs="仿宋"/>
          <w:color w:val="000000" w:themeColor="text1"/>
          <w:spacing w:val="-8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pacing w:val="-8"/>
          <w:sz w:val="32"/>
          <w:szCs w:val="32"/>
        </w:rPr>
        <w:drawing>
          <wp:inline distT="0" distB="0" distL="114300" distR="114300">
            <wp:extent cx="1859280" cy="1859280"/>
            <wp:effectExtent l="19050" t="0" r="7620" b="0"/>
            <wp:docPr id="1" name="图片 1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8698" cy="185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134" w:right="1361" w:bottom="113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5217"/>
      <w:rPr>
        <w:rFonts w:ascii="Calibri" w:hAnsi="Calibri" w:eastAsia="Calibri" w:cs="Calibri"/>
        <w:sz w:val="18"/>
        <w:szCs w:val="18"/>
      </w:rPr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fldChar w:fldCharType="begin"/>
                </w:r>
                <w:r>
                  <w:rPr>
                    <w:rFonts w:asciiTheme="minorHAnsi" w:hAnsiTheme="minorHAnsi"/>
                  </w:rPr>
                  <w:instrText xml:space="preserve"> PAGE  \* MERGEFORMAT </w:instrText>
                </w:r>
                <w:r>
                  <w:rPr>
                    <w:rFonts w:asciiTheme="minorHAnsi" w:hAnsiTheme="minorHAnsi"/>
                  </w:rPr>
                  <w:fldChar w:fldCharType="separate"/>
                </w:r>
                <w:r>
                  <w:rPr>
                    <w:rFonts w:asciiTheme="minorHAnsi" w:hAnsiTheme="minorHAnsi"/>
                  </w:rPr>
                  <w:t>1</w:t>
                </w:r>
                <w:r>
                  <w:rPr>
                    <w:rFonts w:asciiTheme="minorHAnsi" w:hAnsiTheme="minorHAnsi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UzN2UyYWY1OTUyYzA4NzUxNDYyODhiNDA3NzNhNzMifQ=="/>
  </w:docVars>
  <w:rsids>
    <w:rsidRoot w:val="009E7B27"/>
    <w:rsid w:val="00024A0C"/>
    <w:rsid w:val="00044661"/>
    <w:rsid w:val="00051ACB"/>
    <w:rsid w:val="00063389"/>
    <w:rsid w:val="0007525D"/>
    <w:rsid w:val="00092959"/>
    <w:rsid w:val="000A641B"/>
    <w:rsid w:val="000C7944"/>
    <w:rsid w:val="000D59C2"/>
    <w:rsid w:val="001126B3"/>
    <w:rsid w:val="00156365"/>
    <w:rsid w:val="00250FBE"/>
    <w:rsid w:val="00256FFF"/>
    <w:rsid w:val="002A1D37"/>
    <w:rsid w:val="002B57DF"/>
    <w:rsid w:val="002E234A"/>
    <w:rsid w:val="002F411D"/>
    <w:rsid w:val="00316824"/>
    <w:rsid w:val="00326949"/>
    <w:rsid w:val="0033232B"/>
    <w:rsid w:val="00332BEB"/>
    <w:rsid w:val="00342ACB"/>
    <w:rsid w:val="003442C4"/>
    <w:rsid w:val="00367EF5"/>
    <w:rsid w:val="003816ED"/>
    <w:rsid w:val="00391A43"/>
    <w:rsid w:val="003D59A1"/>
    <w:rsid w:val="003E3EAF"/>
    <w:rsid w:val="003F04C7"/>
    <w:rsid w:val="004012D2"/>
    <w:rsid w:val="00440B94"/>
    <w:rsid w:val="00445177"/>
    <w:rsid w:val="00450CCF"/>
    <w:rsid w:val="0045738D"/>
    <w:rsid w:val="00460D13"/>
    <w:rsid w:val="004B75BD"/>
    <w:rsid w:val="004D5BE2"/>
    <w:rsid w:val="004D62F5"/>
    <w:rsid w:val="005328C8"/>
    <w:rsid w:val="005A1093"/>
    <w:rsid w:val="005D76E8"/>
    <w:rsid w:val="005F6ADA"/>
    <w:rsid w:val="00662CBD"/>
    <w:rsid w:val="00666F16"/>
    <w:rsid w:val="00682872"/>
    <w:rsid w:val="006C3032"/>
    <w:rsid w:val="006C5D5E"/>
    <w:rsid w:val="00712E68"/>
    <w:rsid w:val="00724BCD"/>
    <w:rsid w:val="007979DB"/>
    <w:rsid w:val="007B7734"/>
    <w:rsid w:val="007C2A51"/>
    <w:rsid w:val="007F02DE"/>
    <w:rsid w:val="008063E1"/>
    <w:rsid w:val="008304B9"/>
    <w:rsid w:val="00836964"/>
    <w:rsid w:val="00893BD3"/>
    <w:rsid w:val="008A57D9"/>
    <w:rsid w:val="008E2BDA"/>
    <w:rsid w:val="0092268D"/>
    <w:rsid w:val="0095415B"/>
    <w:rsid w:val="0098687F"/>
    <w:rsid w:val="009B2165"/>
    <w:rsid w:val="009C7346"/>
    <w:rsid w:val="009E269A"/>
    <w:rsid w:val="009E7B27"/>
    <w:rsid w:val="009F0734"/>
    <w:rsid w:val="00A05D0B"/>
    <w:rsid w:val="00A11540"/>
    <w:rsid w:val="00A43B13"/>
    <w:rsid w:val="00A837DE"/>
    <w:rsid w:val="00AD73B0"/>
    <w:rsid w:val="00B3728B"/>
    <w:rsid w:val="00B511DD"/>
    <w:rsid w:val="00B8238A"/>
    <w:rsid w:val="00B83C6A"/>
    <w:rsid w:val="00B85ED9"/>
    <w:rsid w:val="00BD62E5"/>
    <w:rsid w:val="00C82964"/>
    <w:rsid w:val="00C92975"/>
    <w:rsid w:val="00CA5488"/>
    <w:rsid w:val="00CF1EDB"/>
    <w:rsid w:val="00D210BC"/>
    <w:rsid w:val="00D3567A"/>
    <w:rsid w:val="00D60790"/>
    <w:rsid w:val="00D86872"/>
    <w:rsid w:val="00DA233E"/>
    <w:rsid w:val="00DA795F"/>
    <w:rsid w:val="00DD3E95"/>
    <w:rsid w:val="00E058F0"/>
    <w:rsid w:val="00E35356"/>
    <w:rsid w:val="00E42FD7"/>
    <w:rsid w:val="00E57960"/>
    <w:rsid w:val="00E857E3"/>
    <w:rsid w:val="00EF364A"/>
    <w:rsid w:val="00F32B73"/>
    <w:rsid w:val="00F3398D"/>
    <w:rsid w:val="00F35D48"/>
    <w:rsid w:val="00F85A88"/>
    <w:rsid w:val="00F86322"/>
    <w:rsid w:val="00F91010"/>
    <w:rsid w:val="00FB0751"/>
    <w:rsid w:val="00FB3DBB"/>
    <w:rsid w:val="00FF05D0"/>
    <w:rsid w:val="04E473AC"/>
    <w:rsid w:val="06C82E16"/>
    <w:rsid w:val="0786207B"/>
    <w:rsid w:val="097C1F9D"/>
    <w:rsid w:val="0B2A6319"/>
    <w:rsid w:val="0B3C5593"/>
    <w:rsid w:val="0D874AFB"/>
    <w:rsid w:val="0EF645A0"/>
    <w:rsid w:val="0F227143"/>
    <w:rsid w:val="118D1789"/>
    <w:rsid w:val="12BB58E4"/>
    <w:rsid w:val="137B3EBC"/>
    <w:rsid w:val="13A7230D"/>
    <w:rsid w:val="140F191B"/>
    <w:rsid w:val="15C414F0"/>
    <w:rsid w:val="173D69EE"/>
    <w:rsid w:val="17C221C0"/>
    <w:rsid w:val="193D07EF"/>
    <w:rsid w:val="1A24165B"/>
    <w:rsid w:val="1A7D5DB4"/>
    <w:rsid w:val="1AE247F8"/>
    <w:rsid w:val="1B0E5564"/>
    <w:rsid w:val="1FA15E62"/>
    <w:rsid w:val="21DC13D3"/>
    <w:rsid w:val="22CD2F8A"/>
    <w:rsid w:val="22DD4148"/>
    <w:rsid w:val="264F486A"/>
    <w:rsid w:val="27C923FA"/>
    <w:rsid w:val="284E0B51"/>
    <w:rsid w:val="28C516CF"/>
    <w:rsid w:val="2A175F19"/>
    <w:rsid w:val="2A490E0C"/>
    <w:rsid w:val="2AE5249E"/>
    <w:rsid w:val="30E402A4"/>
    <w:rsid w:val="32DB1233"/>
    <w:rsid w:val="35993BB6"/>
    <w:rsid w:val="38A1524B"/>
    <w:rsid w:val="3A2836A3"/>
    <w:rsid w:val="3A4B4EF0"/>
    <w:rsid w:val="3B6414F8"/>
    <w:rsid w:val="3C1C6B44"/>
    <w:rsid w:val="3C7842E3"/>
    <w:rsid w:val="3D96133E"/>
    <w:rsid w:val="410605A6"/>
    <w:rsid w:val="42DD3639"/>
    <w:rsid w:val="4353418F"/>
    <w:rsid w:val="43B43B06"/>
    <w:rsid w:val="44606644"/>
    <w:rsid w:val="448259B3"/>
    <w:rsid w:val="47631ACB"/>
    <w:rsid w:val="479C1BE0"/>
    <w:rsid w:val="48643D4D"/>
    <w:rsid w:val="486F26F2"/>
    <w:rsid w:val="4DB8756B"/>
    <w:rsid w:val="508B0107"/>
    <w:rsid w:val="509C5130"/>
    <w:rsid w:val="51901F0A"/>
    <w:rsid w:val="526C10EB"/>
    <w:rsid w:val="53001A7A"/>
    <w:rsid w:val="548213F9"/>
    <w:rsid w:val="5887473C"/>
    <w:rsid w:val="5A166E71"/>
    <w:rsid w:val="5B947E3D"/>
    <w:rsid w:val="5D0D559B"/>
    <w:rsid w:val="5F007C74"/>
    <w:rsid w:val="6076192E"/>
    <w:rsid w:val="61C82756"/>
    <w:rsid w:val="63C81F71"/>
    <w:rsid w:val="650E55CD"/>
    <w:rsid w:val="659D3FA3"/>
    <w:rsid w:val="66896FEB"/>
    <w:rsid w:val="668D1F86"/>
    <w:rsid w:val="66D4520F"/>
    <w:rsid w:val="677E36DF"/>
    <w:rsid w:val="67A61834"/>
    <w:rsid w:val="67C556D9"/>
    <w:rsid w:val="67CC4CD5"/>
    <w:rsid w:val="68246BE9"/>
    <w:rsid w:val="6B640CD1"/>
    <w:rsid w:val="6BE57C5D"/>
    <w:rsid w:val="6F7570AC"/>
    <w:rsid w:val="6FC7059A"/>
    <w:rsid w:val="6FCD1928"/>
    <w:rsid w:val="719F46D3"/>
    <w:rsid w:val="73142973"/>
    <w:rsid w:val="741B5AF5"/>
    <w:rsid w:val="74744A68"/>
    <w:rsid w:val="752E2E69"/>
    <w:rsid w:val="755A60D0"/>
    <w:rsid w:val="790633F3"/>
    <w:rsid w:val="79C84E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9">
    <w:name w:val="批注框文本 Char"/>
    <w:basedOn w:val="7"/>
    <w:link w:val="2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1295</Words>
  <Characters>128</Characters>
  <Lines>1</Lines>
  <Paragraphs>2</Paragraphs>
  <TotalTime>12</TotalTime>
  <ScaleCrop>false</ScaleCrop>
  <LinksUpToDate>false</LinksUpToDate>
  <CharactersWithSpaces>1421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2022-08-18T01:25:00Z</dcterms:created>
  <dc:creator>Administrator</dc:creator>
  <cp:lastModifiedBy>边記</cp:lastModifiedBy>
  <cp:lastPrinted>2023-11-27T10:26:00Z</cp:lastPrinted>
  <dcterms:modified xsi:type="dcterms:W3CDTF">2023-12-18T11:26:05Z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4B03ECD920704FC2B5D9E59093D396C5</vt:lpwstr>
  </property>
</Properties>
</file>