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/>
        <w:jc w:val="center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leftMargin">
              <wp:posOffset>274320</wp:posOffset>
            </wp:positionH>
            <wp:positionV relativeFrom="paragraph">
              <wp:posOffset>-471805</wp:posOffset>
            </wp:positionV>
            <wp:extent cx="866775" cy="723265"/>
            <wp:effectExtent l="0" t="0" r="0" b="127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2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36"/>
          <w:szCs w:val="36"/>
        </w:rPr>
        <w:t>恒逸集团-广西恒逸新材料</w:t>
      </w:r>
      <w:bookmarkStart w:id="0" w:name="_GoBack"/>
      <w:bookmarkEnd w:id="0"/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36"/>
          <w:szCs w:val="36"/>
        </w:rPr>
        <w:t>校园招聘简章</w:t>
      </w:r>
    </w:p>
    <w:p>
      <w:pPr>
        <w:widowControl/>
        <w:spacing w:before="75" w:after="75" w:line="400" w:lineRule="exact"/>
        <w:jc w:val="left"/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before="75" w:after="75" w:line="400" w:lineRule="exact"/>
        <w:jc w:val="left"/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一、公司简介</w:t>
      </w:r>
    </w:p>
    <w:p>
      <w:pPr>
        <w:spacing w:line="400" w:lineRule="exact"/>
        <w:ind w:firstLine="386"/>
        <w:rPr>
          <w:rFonts w:ascii="宋体" w:hAnsi="宋体" w:eastAsia="宋体"/>
          <w:sz w:val="24"/>
          <w:szCs w:val="28"/>
        </w:rPr>
      </w:pPr>
      <w:r>
        <w:rPr>
          <w:rFonts w:hint="eastAsia" w:ascii="微软雅黑" w:hAnsi="微软雅黑" w:eastAsia="微软雅黑"/>
        </w:rPr>
        <w:t> </w:t>
      </w:r>
      <w:r>
        <w:rPr>
          <w:rFonts w:ascii="微软雅黑" w:hAnsi="微软雅黑" w:eastAsia="微软雅黑"/>
        </w:rPr>
        <w:t xml:space="preserve"> </w:t>
      </w:r>
      <w:r>
        <w:rPr>
          <w:rFonts w:hint="eastAsia" w:ascii="宋体" w:hAnsi="宋体" w:eastAsia="宋体"/>
          <w:sz w:val="24"/>
          <w:szCs w:val="28"/>
        </w:rPr>
        <w:t>恒逸集团始创于1974年，是一家业务覆盖</w:t>
      </w:r>
      <w:r>
        <w:rPr>
          <w:rFonts w:hint="eastAsia" w:ascii="宋体" w:hAnsi="宋体" w:eastAsia="宋体"/>
          <w:b/>
          <w:bCs/>
          <w:sz w:val="24"/>
          <w:szCs w:val="28"/>
        </w:rPr>
        <w:t>石油化工、纺织原材料、金融、贸易、物流</w:t>
      </w:r>
      <w:r>
        <w:rPr>
          <w:rFonts w:hint="eastAsia" w:ascii="宋体" w:hAnsi="宋体" w:eastAsia="宋体"/>
          <w:sz w:val="24"/>
          <w:szCs w:val="28"/>
        </w:rPr>
        <w:t>等领域的国际化综合型企业。现有</w:t>
      </w:r>
      <w:r>
        <w:rPr>
          <w:rFonts w:hint="eastAsia" w:ascii="宋体" w:hAnsi="宋体" w:eastAsia="宋体"/>
          <w:b/>
          <w:sz w:val="24"/>
          <w:szCs w:val="28"/>
        </w:rPr>
        <w:t>员工2</w:t>
      </w:r>
      <w:r>
        <w:rPr>
          <w:rFonts w:ascii="宋体" w:hAnsi="宋体" w:eastAsia="宋体"/>
          <w:b/>
          <w:sz w:val="24"/>
          <w:szCs w:val="28"/>
        </w:rPr>
        <w:t>6</w:t>
      </w:r>
      <w:r>
        <w:rPr>
          <w:rFonts w:hint="eastAsia" w:ascii="宋体" w:hAnsi="宋体" w:eastAsia="宋体"/>
          <w:b/>
          <w:sz w:val="24"/>
          <w:szCs w:val="28"/>
        </w:rPr>
        <w:t>000余名</w:t>
      </w:r>
      <w:r>
        <w:rPr>
          <w:rFonts w:hint="eastAsia" w:ascii="宋体" w:hAnsi="宋体" w:eastAsia="宋体"/>
          <w:sz w:val="24"/>
          <w:szCs w:val="28"/>
        </w:rPr>
        <w:t>，</w:t>
      </w:r>
      <w:r>
        <w:rPr>
          <w:rFonts w:hint="eastAsia" w:ascii="宋体" w:hAnsi="宋体" w:eastAsia="宋体"/>
          <w:b/>
          <w:sz w:val="24"/>
          <w:szCs w:val="28"/>
        </w:rPr>
        <w:t>总资产超</w:t>
      </w:r>
      <w:r>
        <w:rPr>
          <w:rFonts w:hint="eastAsia" w:ascii="宋体" w:hAnsi="宋体" w:eastAsia="宋体"/>
          <w:b/>
          <w:bCs/>
          <w:sz w:val="24"/>
          <w:szCs w:val="28"/>
        </w:rPr>
        <w:t>1</w:t>
      </w:r>
      <w:r>
        <w:rPr>
          <w:rFonts w:ascii="宋体" w:hAnsi="宋体" w:eastAsia="宋体"/>
          <w:b/>
          <w:bCs/>
          <w:sz w:val="24"/>
          <w:szCs w:val="28"/>
        </w:rPr>
        <w:t>5</w:t>
      </w:r>
      <w:r>
        <w:rPr>
          <w:rFonts w:hint="eastAsia" w:ascii="宋体" w:hAnsi="宋体" w:eastAsia="宋体"/>
          <w:b/>
          <w:bCs/>
          <w:sz w:val="24"/>
          <w:szCs w:val="28"/>
        </w:rPr>
        <w:t>00亿</w:t>
      </w:r>
      <w:r>
        <w:rPr>
          <w:rFonts w:hint="eastAsia" w:ascii="宋体" w:hAnsi="宋体" w:eastAsia="宋体"/>
          <w:b/>
          <w:sz w:val="24"/>
          <w:szCs w:val="28"/>
        </w:rPr>
        <w:t>元</w:t>
      </w:r>
      <w:r>
        <w:rPr>
          <w:rFonts w:hint="eastAsia" w:ascii="宋体" w:hAnsi="宋体" w:eastAsia="宋体"/>
          <w:sz w:val="24"/>
          <w:szCs w:val="28"/>
        </w:rPr>
        <w:t>，2</w:t>
      </w:r>
      <w:r>
        <w:rPr>
          <w:rFonts w:ascii="宋体" w:hAnsi="宋体" w:eastAsia="宋体"/>
          <w:sz w:val="24"/>
          <w:szCs w:val="28"/>
        </w:rPr>
        <w:t>022</w:t>
      </w:r>
      <w:r>
        <w:rPr>
          <w:rFonts w:hint="eastAsia" w:ascii="宋体" w:hAnsi="宋体" w:eastAsia="宋体"/>
          <w:b/>
          <w:sz w:val="24"/>
          <w:szCs w:val="28"/>
        </w:rPr>
        <w:t>年</w:t>
      </w:r>
      <w:r>
        <w:rPr>
          <w:rFonts w:hint="eastAsia" w:ascii="宋体" w:hAnsi="宋体" w:eastAsia="宋体"/>
          <w:b/>
          <w:bCs/>
          <w:sz w:val="24"/>
          <w:szCs w:val="28"/>
        </w:rPr>
        <w:t>营业收入近</w:t>
      </w:r>
      <w:r>
        <w:rPr>
          <w:rFonts w:ascii="宋体" w:hAnsi="宋体" w:eastAsia="宋体"/>
          <w:b/>
          <w:bCs/>
          <w:sz w:val="24"/>
          <w:szCs w:val="28"/>
        </w:rPr>
        <w:t>4</w:t>
      </w:r>
      <w:r>
        <w:rPr>
          <w:rFonts w:hint="eastAsia" w:ascii="宋体" w:hAnsi="宋体" w:eastAsia="宋体"/>
          <w:b/>
          <w:bCs/>
          <w:sz w:val="24"/>
          <w:szCs w:val="28"/>
        </w:rPr>
        <w:t>000亿元</w:t>
      </w:r>
      <w:r>
        <w:rPr>
          <w:rFonts w:hint="eastAsia" w:ascii="宋体" w:hAnsi="宋体" w:eastAsia="宋体"/>
          <w:sz w:val="24"/>
          <w:szCs w:val="28"/>
        </w:rPr>
        <w:t>，系</w:t>
      </w:r>
      <w:r>
        <w:rPr>
          <w:rFonts w:hint="eastAsia" w:ascii="宋体" w:hAnsi="宋体" w:eastAsia="宋体"/>
          <w:b/>
          <w:bCs/>
          <w:sz w:val="24"/>
          <w:szCs w:val="28"/>
        </w:rPr>
        <w:t>全球最大的纺织原料供应商之一，2</w:t>
      </w:r>
      <w:r>
        <w:rPr>
          <w:rFonts w:ascii="宋体" w:hAnsi="宋体" w:eastAsia="宋体"/>
          <w:b/>
          <w:bCs/>
          <w:sz w:val="24"/>
          <w:szCs w:val="28"/>
        </w:rPr>
        <w:t>021</w:t>
      </w:r>
      <w:r>
        <w:rPr>
          <w:rFonts w:hint="eastAsia" w:ascii="宋体" w:hAnsi="宋体" w:eastAsia="宋体"/>
          <w:b/>
          <w:bCs/>
          <w:sz w:val="24"/>
          <w:szCs w:val="28"/>
        </w:rPr>
        <w:t>年PTA、聚酯化纤产能位居全球第一。公司位列世界500强第</w:t>
      </w:r>
      <w:r>
        <w:rPr>
          <w:rFonts w:ascii="宋体" w:hAnsi="宋体" w:eastAsia="宋体"/>
          <w:b/>
          <w:bCs/>
          <w:sz w:val="24"/>
          <w:szCs w:val="28"/>
        </w:rPr>
        <w:t>264</w:t>
      </w:r>
      <w:r>
        <w:rPr>
          <w:rFonts w:hint="eastAsia" w:ascii="宋体" w:hAnsi="宋体" w:eastAsia="宋体"/>
          <w:b/>
          <w:bCs/>
          <w:sz w:val="24"/>
          <w:szCs w:val="28"/>
        </w:rPr>
        <w:t>位</w:t>
      </w:r>
      <w:r>
        <w:rPr>
          <w:rFonts w:hint="eastAsia" w:ascii="宋体" w:hAnsi="宋体" w:eastAsia="宋体"/>
          <w:sz w:val="24"/>
          <w:szCs w:val="28"/>
        </w:rPr>
        <w:t>、全球化工5强，连续1</w:t>
      </w:r>
      <w:r>
        <w:rPr>
          <w:rFonts w:ascii="宋体" w:hAnsi="宋体" w:eastAsia="宋体"/>
          <w:sz w:val="24"/>
          <w:szCs w:val="28"/>
        </w:rPr>
        <w:t>9</w:t>
      </w:r>
      <w:r>
        <w:rPr>
          <w:rFonts w:hint="eastAsia" w:ascii="宋体" w:hAnsi="宋体" w:eastAsia="宋体"/>
          <w:sz w:val="24"/>
          <w:szCs w:val="28"/>
        </w:rPr>
        <w:t>年位居</w:t>
      </w:r>
      <w:r>
        <w:rPr>
          <w:rFonts w:hint="eastAsia" w:ascii="宋体" w:hAnsi="宋体" w:eastAsia="宋体"/>
          <w:b/>
          <w:bCs/>
          <w:sz w:val="24"/>
          <w:szCs w:val="28"/>
        </w:rPr>
        <w:t>中国企业</w:t>
      </w:r>
      <w:r>
        <w:rPr>
          <w:rFonts w:ascii="宋体" w:hAnsi="宋体" w:eastAsia="宋体"/>
          <w:b/>
          <w:bCs/>
          <w:sz w:val="24"/>
          <w:szCs w:val="28"/>
        </w:rPr>
        <w:t>500强</w:t>
      </w:r>
      <w:r>
        <w:rPr>
          <w:rFonts w:ascii="宋体" w:hAnsi="宋体" w:eastAsia="宋体"/>
          <w:sz w:val="24"/>
          <w:szCs w:val="28"/>
        </w:rPr>
        <w:t>。</w:t>
      </w:r>
      <w:r>
        <w:rPr>
          <w:rFonts w:hint="eastAsia" w:ascii="宋体" w:hAnsi="宋体" w:eastAsia="宋体"/>
          <w:sz w:val="24"/>
          <w:szCs w:val="28"/>
        </w:rPr>
        <w:t>集团旗下子公司</w:t>
      </w:r>
      <w:r>
        <w:rPr>
          <w:rFonts w:hint="eastAsia" w:ascii="宋体" w:hAnsi="宋体" w:eastAsia="宋体"/>
          <w:b/>
          <w:sz w:val="24"/>
          <w:szCs w:val="28"/>
        </w:rPr>
        <w:t>恒逸石化（</w:t>
      </w:r>
      <w:r>
        <w:rPr>
          <w:rFonts w:hint="eastAsia" w:ascii="宋体" w:hAnsi="宋体" w:eastAsia="宋体"/>
          <w:b/>
          <w:bCs/>
          <w:sz w:val="24"/>
          <w:szCs w:val="28"/>
        </w:rPr>
        <w:t>000703.SZ</w:t>
      </w:r>
      <w:r>
        <w:rPr>
          <w:rFonts w:hint="eastAsia" w:ascii="宋体" w:hAnsi="宋体" w:eastAsia="宋体"/>
          <w:b/>
          <w:sz w:val="24"/>
          <w:szCs w:val="28"/>
        </w:rPr>
        <w:t>）</w:t>
      </w:r>
      <w:r>
        <w:rPr>
          <w:rFonts w:hint="eastAsia" w:ascii="宋体" w:hAnsi="宋体" w:eastAsia="宋体"/>
          <w:sz w:val="24"/>
          <w:szCs w:val="28"/>
        </w:rPr>
        <w:t>于2011年</w:t>
      </w:r>
      <w:r>
        <w:rPr>
          <w:rFonts w:hint="eastAsia" w:ascii="宋体" w:hAnsi="宋体" w:eastAsia="宋体"/>
          <w:bCs/>
          <w:sz w:val="24"/>
          <w:szCs w:val="28"/>
        </w:rPr>
        <w:t>上市</w:t>
      </w:r>
      <w:r>
        <w:rPr>
          <w:rFonts w:hint="eastAsia" w:ascii="宋体" w:hAnsi="宋体" w:eastAsia="宋体"/>
          <w:sz w:val="24"/>
          <w:szCs w:val="28"/>
        </w:rPr>
        <w:t>。</w:t>
      </w:r>
      <w:r>
        <w:rPr>
          <w:rFonts w:ascii="宋体" w:hAnsi="宋体" w:eastAsia="宋体"/>
          <w:sz w:val="24"/>
          <w:szCs w:val="28"/>
        </w:rPr>
        <w:t>集团有国家级博士后工作站、国家级企业技术中心</w:t>
      </w:r>
      <w:r>
        <w:rPr>
          <w:rFonts w:hint="eastAsia" w:ascii="宋体" w:hAnsi="宋体" w:eastAsia="宋体"/>
          <w:sz w:val="24"/>
          <w:szCs w:val="28"/>
        </w:rPr>
        <w:t>，并</w:t>
      </w:r>
      <w:r>
        <w:rPr>
          <w:rFonts w:ascii="宋体" w:hAnsi="宋体" w:eastAsia="宋体"/>
          <w:sz w:val="24"/>
          <w:szCs w:val="28"/>
        </w:rPr>
        <w:t>获得国家科学技术进步奖、中国名牌、诚信企业诸多荣誉。秉承</w:t>
      </w:r>
      <w:r>
        <w:rPr>
          <w:rFonts w:ascii="宋体" w:hAnsi="宋体" w:eastAsia="宋体"/>
          <w:b/>
          <w:bCs/>
          <w:sz w:val="24"/>
          <w:szCs w:val="28"/>
        </w:rPr>
        <w:t>“永不止步，缔造辉煌”的企业精神</w:t>
      </w:r>
      <w:r>
        <w:rPr>
          <w:rFonts w:ascii="宋体" w:hAnsi="宋体" w:eastAsia="宋体"/>
          <w:sz w:val="24"/>
          <w:szCs w:val="28"/>
        </w:rPr>
        <w:t>，矢志不渝做强主业，致力于成为世界国际一流的石化产业集团。</w:t>
      </w:r>
    </w:p>
    <w:p>
      <w:pPr>
        <w:spacing w:line="400" w:lineRule="exact"/>
        <w:ind w:firstLine="482" w:firstLineChars="20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广西恒逸新材料有限公司</w:t>
      </w:r>
      <w:r>
        <w:rPr>
          <w:rFonts w:hint="eastAsia" w:ascii="宋体" w:hAnsi="宋体" w:eastAsia="宋体"/>
          <w:sz w:val="24"/>
          <w:szCs w:val="28"/>
        </w:rPr>
        <w:t>是恒逸于钦州打造的年产</w:t>
      </w:r>
      <w:r>
        <w:rPr>
          <w:rFonts w:ascii="宋体" w:hAnsi="宋体" w:eastAsia="宋体"/>
          <w:b/>
          <w:sz w:val="24"/>
          <w:szCs w:val="28"/>
        </w:rPr>
        <w:t>120万吨己内酰胺-聚酰胺产业一体化及配套工程项目</w:t>
      </w:r>
      <w:r>
        <w:rPr>
          <w:rFonts w:ascii="宋体" w:hAnsi="宋体" w:eastAsia="宋体"/>
          <w:sz w:val="24"/>
          <w:szCs w:val="28"/>
        </w:rPr>
        <w:t>。项目立足钦州港口资源和区位优势，利用恒逸文莱项目的苯等原料资源，采用国际领先、绿色环保、节能工艺技术，打造高品质</w:t>
      </w:r>
      <w:r>
        <w:rPr>
          <w:rFonts w:ascii="宋体" w:hAnsi="宋体" w:eastAsia="宋体"/>
          <w:b/>
          <w:bCs/>
          <w:sz w:val="24"/>
          <w:szCs w:val="28"/>
        </w:rPr>
        <w:t>CPL-PA6一体化绿色石化产业基地</w:t>
      </w:r>
      <w:r>
        <w:rPr>
          <w:rFonts w:ascii="宋体" w:hAnsi="宋体" w:eastAsia="宋体"/>
          <w:sz w:val="24"/>
          <w:szCs w:val="28"/>
        </w:rPr>
        <w:t>。已被列入</w:t>
      </w:r>
      <w:r>
        <w:rPr>
          <w:rFonts w:ascii="宋体" w:hAnsi="宋体" w:eastAsia="宋体"/>
          <w:b/>
          <w:sz w:val="24"/>
          <w:szCs w:val="28"/>
        </w:rPr>
        <w:t>自治区重点项目和钦州市“5+2”重大产业项目</w:t>
      </w:r>
      <w:r>
        <w:rPr>
          <w:rFonts w:ascii="宋体" w:hAnsi="宋体" w:eastAsia="宋体"/>
          <w:sz w:val="24"/>
          <w:szCs w:val="28"/>
        </w:rPr>
        <w:t>。项目分两期建设，占地</w:t>
      </w:r>
      <w:r>
        <w:rPr>
          <w:rFonts w:ascii="宋体" w:hAnsi="宋体" w:eastAsia="宋体"/>
          <w:b/>
          <w:sz w:val="24"/>
          <w:szCs w:val="28"/>
        </w:rPr>
        <w:t>2500亩</w:t>
      </w:r>
      <w:r>
        <w:rPr>
          <w:rFonts w:ascii="宋体" w:hAnsi="宋体" w:eastAsia="宋体"/>
          <w:sz w:val="24"/>
          <w:szCs w:val="28"/>
        </w:rPr>
        <w:t>，总投资为</w:t>
      </w:r>
      <w:r>
        <w:rPr>
          <w:rFonts w:ascii="宋体" w:hAnsi="宋体" w:eastAsia="宋体"/>
          <w:b/>
          <w:sz w:val="24"/>
          <w:szCs w:val="28"/>
        </w:rPr>
        <w:t>220亿元</w:t>
      </w:r>
      <w:r>
        <w:rPr>
          <w:rFonts w:ascii="宋体" w:hAnsi="宋体" w:eastAsia="宋体"/>
          <w:sz w:val="24"/>
          <w:szCs w:val="28"/>
        </w:rPr>
        <w:t>，配套有码头公司、污水处理厂、220KV双回路变电站、中央控制中心、智能仓库等。项目一期于</w:t>
      </w:r>
      <w:r>
        <w:rPr>
          <w:rFonts w:ascii="宋体" w:hAnsi="宋体" w:eastAsia="宋体"/>
          <w:b/>
          <w:sz w:val="24"/>
          <w:szCs w:val="28"/>
        </w:rPr>
        <w:t>2021年</w:t>
      </w:r>
      <w:r>
        <w:rPr>
          <w:rFonts w:ascii="宋体" w:hAnsi="宋体" w:eastAsia="宋体"/>
          <w:sz w:val="24"/>
          <w:szCs w:val="28"/>
        </w:rPr>
        <w:t>启动，预计</w:t>
      </w:r>
      <w:r>
        <w:rPr>
          <w:rFonts w:ascii="宋体" w:hAnsi="宋体" w:eastAsia="宋体"/>
          <w:b/>
          <w:sz w:val="24"/>
          <w:szCs w:val="28"/>
        </w:rPr>
        <w:t>2024年7月一期投产</w:t>
      </w:r>
      <w:r>
        <w:rPr>
          <w:rFonts w:ascii="宋体" w:hAnsi="宋体" w:eastAsia="宋体"/>
          <w:sz w:val="24"/>
          <w:szCs w:val="28"/>
        </w:rPr>
        <w:t>。</w:t>
      </w:r>
    </w:p>
    <w:p>
      <w:pPr>
        <w:spacing w:line="400" w:lineRule="exact"/>
        <w:ind w:firstLine="420" w:firstLineChars="200"/>
        <w:rPr>
          <w:rFonts w:ascii="宋体" w:hAnsi="宋体" w:eastAsia="宋体"/>
          <w:sz w:val="24"/>
          <w:szCs w:val="28"/>
        </w:rPr>
      </w:pPr>
      <w:r>
        <w:rPr>
          <w:rFonts w:ascii="微软雅黑" w:hAnsi="微软雅黑" w:eastAsia="微软雅黑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102870</wp:posOffset>
            </wp:positionV>
            <wp:extent cx="2319020" cy="1544320"/>
            <wp:effectExtent l="0" t="0" r="5715" b="0"/>
            <wp:wrapNone/>
            <wp:docPr id="638692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692300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231" cy="154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110490</wp:posOffset>
            </wp:positionV>
            <wp:extent cx="2421890" cy="1558290"/>
            <wp:effectExtent l="0" t="0" r="0" b="4445"/>
            <wp:wrapNone/>
            <wp:docPr id="13787452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45289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599" cy="1568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480" w:firstLineChars="200"/>
        <w:rPr>
          <w:rFonts w:ascii="宋体" w:hAnsi="宋体" w:eastAsia="宋体"/>
          <w:sz w:val="24"/>
          <w:szCs w:val="28"/>
        </w:rPr>
      </w:pPr>
    </w:p>
    <w:p>
      <w:pPr>
        <w:spacing w:line="400" w:lineRule="exact"/>
        <w:ind w:firstLine="480" w:firstLineChars="200"/>
        <w:rPr>
          <w:rFonts w:ascii="宋体" w:hAnsi="宋体" w:eastAsia="宋体"/>
          <w:sz w:val="24"/>
          <w:szCs w:val="28"/>
        </w:rPr>
      </w:pPr>
    </w:p>
    <w:p>
      <w:pPr>
        <w:spacing w:line="400" w:lineRule="exact"/>
        <w:ind w:firstLine="480" w:firstLineChars="200"/>
        <w:rPr>
          <w:rFonts w:ascii="宋体" w:hAnsi="宋体" w:eastAsia="宋体"/>
          <w:sz w:val="24"/>
          <w:szCs w:val="28"/>
        </w:rPr>
      </w:pPr>
    </w:p>
    <w:p>
      <w:pPr>
        <w:spacing w:line="400" w:lineRule="exact"/>
        <w:ind w:firstLine="480" w:firstLineChars="200"/>
        <w:rPr>
          <w:rFonts w:ascii="宋体" w:hAnsi="宋体" w:eastAsia="宋体"/>
          <w:sz w:val="24"/>
          <w:szCs w:val="28"/>
        </w:rPr>
      </w:pPr>
    </w:p>
    <w:p>
      <w:pPr>
        <w:spacing w:line="400" w:lineRule="exact"/>
        <w:ind w:firstLine="480" w:firstLineChars="200"/>
        <w:rPr>
          <w:rFonts w:hint="eastAsia" w:ascii="宋体" w:hAnsi="宋体" w:eastAsia="宋体"/>
          <w:sz w:val="24"/>
          <w:szCs w:val="28"/>
        </w:rPr>
      </w:pPr>
    </w:p>
    <w:p>
      <w:pPr>
        <w:spacing w:line="400" w:lineRule="exact"/>
        <w:rPr>
          <w:rFonts w:hint="eastAsia" w:ascii="宋体" w:hAnsi="宋体" w:eastAsia="宋体"/>
          <w:sz w:val="24"/>
          <w:szCs w:val="28"/>
        </w:rPr>
      </w:pPr>
    </w:p>
    <w:p>
      <w:pPr>
        <w:spacing w:line="400" w:lineRule="exact"/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二、我们提供的校招职位：</w:t>
      </w:r>
    </w:p>
    <w:tbl>
      <w:tblPr>
        <w:tblStyle w:val="5"/>
        <w:tblW w:w="8364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59"/>
        <w:gridCol w:w="1134"/>
        <w:gridCol w:w="3118"/>
        <w:gridCol w:w="1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职位名称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化工工艺岗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专科及以上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应用化工技术、精细化工技术、石油化工技术、高分子合成技术、煤化工技术、工业分析技术、环境监测/工程技术等专业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100人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分析检验岗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专科及以上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工业分析技术、环境监测技术等专业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电气仪表岗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专科及以上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机电一体化技术、电气自动化技术、工业自动化仪表、化工仪表、工业过程自动化技术、发电厂及电气系统等专业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60人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公用工程岗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专科及以上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给排水科学与工程、暖通工程、环境工程、电厂化学、能源动力与工程、化工装备技术、机电一体化等专业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30人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热能动力岗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专科及以上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能源动力与工程、火电集控运行等</w:t>
            </w:r>
          </w:p>
          <w:p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8"/>
                <w:szCs w:val="18"/>
              </w:rPr>
              <w:t>40人</w:t>
            </w:r>
          </w:p>
        </w:tc>
      </w:tr>
    </w:tbl>
    <w:p>
      <w:pPr>
        <w:widowControl/>
        <w:spacing w:before="75" w:after="75" w:line="400" w:lineRule="exac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三、我们为每一位人才提供以下待遇：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 </w:t>
      </w:r>
    </w:p>
    <w:p>
      <w:pPr>
        <w:widowControl/>
        <w:spacing w:before="75" w:after="75" w:line="400" w:lineRule="exac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★薪资★：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第一年转正年薪：综合年收入</w:t>
      </w:r>
      <w:r>
        <w:rPr>
          <w:rFonts w:ascii="宋体" w:hAnsi="宋体" w:eastAsia="宋体" w:cs="Arial"/>
          <w:b/>
          <w:bCs/>
          <w:color w:val="000000"/>
          <w:kern w:val="0"/>
          <w:sz w:val="24"/>
          <w:szCs w:val="24"/>
        </w:rPr>
        <w:t>10-13</w:t>
      </w: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万/年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，一年后根据晋升考核后定薪。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★福利体系★：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1、五险一金、生日福利、节日福利、免费班车、工龄工资、高温补贴、其他补贴、带薪年休假、健康体检、各类团建等。实习期提供商业保险，毕业后按国家及地方政策享受五险一金。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2、食宿条件：员工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餐厅、公寓（2人/间标间可拎包入住、配置有独立淋浴卫生间、空调、WiFi、床、衣柜、桌椅、厨房等）、其他各类文体娱乐设施等。</w:t>
      </w:r>
    </w:p>
    <w:p>
      <w:pPr>
        <w:widowControl/>
        <w:spacing w:before="75" w:after="75" w:line="400" w:lineRule="exac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3、★政府补贴★：如符合当地政府人才政策可以申请补贴。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★培训体系★：恒逸企业学院为员工提供完整的职业生涯培训体系支持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1、培训阶段：“摇篮计划”—“潜蓝计划”—“深蓝计划”，助力你从职场新人到行业精英。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、培训内容：通识课程、技术课程、管理课程、导师带教、专家讲座、技术交流、精益生产、技术和管理创新等领域的课程丰富你的职业生涯。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、导师带教：“生活+工作”双导师制，让刚踏入职场的你稳步前进。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★晋升发展★：人尽其才的原则，公开选拔，每年至少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次晋升机会。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1、晋升通道：“技术+管理”双通道晋升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、晋升路径：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①技术序列：实习生-操作员-技术员-技术副/主管-技术副/主任-助理工程师-副/主任工程师-高级工程师-副总工程师-总工程师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②管理序列：实习生-操作员-副/班长-工段长-值班长-主任助理-副/主任-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经理助理-副/经理-副总经理-总经理。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★</w:t>
      </w: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项目五大优势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★：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①行业优势：石化-化工-材料一体化产业链，纵向一体化前景广阔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②发展空间：全新三位一体化基地，上升空间广阔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 xml:space="preserve">③地理位置：面向北部湾、辐射东南亚，高铁、飞机便利出行， 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④安居优势：房价洼地风景宜人，“一年买车、两年买房”快速“成家立业”</w:t>
      </w:r>
    </w:p>
    <w:p>
      <w:pPr>
        <w:widowControl/>
        <w:spacing w:before="75" w:after="75" w:line="400" w:lineRule="exact"/>
        <w:jc w:val="left"/>
        <w:rPr>
          <w:rFonts w:ascii="Arial" w:hAnsi="Arial" w:eastAsia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color w:val="000000"/>
          <w:kern w:val="0"/>
          <w:sz w:val="24"/>
          <w:szCs w:val="24"/>
        </w:rPr>
        <w:t>四、联系方式</w:t>
      </w:r>
    </w:p>
    <w:p>
      <w:pPr>
        <w:widowControl/>
        <w:spacing w:before="75" w:after="75" w:line="400" w:lineRule="exac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、招聘流程：简历投递→综合面试→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录用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签约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→入职报到</w:t>
      </w:r>
    </w:p>
    <w:p>
      <w:pPr>
        <w:widowControl/>
        <w:spacing w:before="75" w:after="75" w:line="400" w:lineRule="exac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、简历投递邮箱</w:t>
      </w:r>
      <w:r>
        <w:rPr>
          <w:rFonts w:ascii="Arial" w:hAnsi="Arial" w:eastAsia="宋体" w:cs="Arial"/>
          <w:color w:val="0000FF"/>
          <w:kern w:val="0"/>
          <w:sz w:val="24"/>
          <w:szCs w:val="24"/>
          <w:u w:val="single"/>
        </w:rPr>
        <w:t>qzhr@hengyi.com</w:t>
      </w:r>
    </w:p>
    <w:p>
      <w:pPr>
        <w:widowControl/>
        <w:spacing w:before="75" w:after="75" w:line="400" w:lineRule="exact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、投递格式：简历名称“姓名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专业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学校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应聘职位”</w:t>
      </w:r>
    </w:p>
    <w:p>
      <w:pPr>
        <w:widowControl/>
        <w:spacing w:before="75" w:after="75" w:line="400" w:lineRule="exact"/>
        <w:ind w:left="960" w:hanging="964" w:hangingChars="400"/>
        <w:jc w:val="left"/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微信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 xml:space="preserve">             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</w:rPr>
        <w:t>校招Q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>Q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</w:rPr>
        <w:t xml:space="preserve">群 </w:t>
      </w:r>
      <w:r>
        <w:rPr>
          <w:rFonts w:ascii="Arial" w:hAnsi="Arial" w:eastAsia="宋体" w:cs="Arial"/>
          <w:b/>
          <w:bCs/>
          <w:color w:val="000000"/>
          <w:kern w:val="0"/>
          <w:sz w:val="24"/>
          <w:szCs w:val="24"/>
        </w:rPr>
        <w:t xml:space="preserve">             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</w:rPr>
        <w:t>集团官微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351155</wp:posOffset>
            </wp:positionH>
            <wp:positionV relativeFrom="paragraph">
              <wp:posOffset>39370</wp:posOffset>
            </wp:positionV>
            <wp:extent cx="1293495" cy="1280160"/>
            <wp:effectExtent l="0" t="0" r="1905" b="0"/>
            <wp:wrapNone/>
            <wp:docPr id="1267549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49093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175" cy="12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2018030</wp:posOffset>
            </wp:positionH>
            <wp:positionV relativeFrom="paragraph">
              <wp:posOffset>53975</wp:posOffset>
            </wp:positionV>
            <wp:extent cx="1313180" cy="1257935"/>
            <wp:effectExtent l="0" t="0" r="190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" t="2346" r="3939" b="4346"/>
                    <a:stretch>
                      <a:fillRect/>
                    </a:stretch>
                  </pic:blipFill>
                  <pic:spPr>
                    <a:xfrm>
                      <a:off x="0" y="0"/>
                      <a:ext cx="1312982" cy="12582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3759835</wp:posOffset>
            </wp:positionH>
            <wp:positionV relativeFrom="paragraph">
              <wp:posOffset>8255</wp:posOffset>
            </wp:positionV>
            <wp:extent cx="1314450" cy="13144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before="75" w:after="75"/>
        <w:jc w:val="center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pacing w:before="75" w:after="75"/>
        <w:jc w:val="center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、公司网址：</w:t>
      </w:r>
      <w:r>
        <w:fldChar w:fldCharType="begin"/>
      </w:r>
      <w:r>
        <w:instrText xml:space="preserve"> HYPERLINK "http://www.hengyi.com/" </w:instrText>
      </w:r>
      <w:r>
        <w:fldChar w:fldCharType="separate"/>
      </w:r>
      <w:r>
        <w:rPr>
          <w:rFonts w:ascii="Arial" w:hAnsi="Arial" w:eastAsia="宋体" w:cs="Arial"/>
          <w:color w:val="0000FF"/>
          <w:kern w:val="0"/>
          <w:sz w:val="24"/>
          <w:szCs w:val="24"/>
          <w:u w:val="single"/>
        </w:rPr>
        <w:t>www.hengyi.com</w:t>
      </w:r>
      <w:r>
        <w:rPr>
          <w:rFonts w:ascii="Arial" w:hAnsi="Arial" w:eastAsia="宋体" w:cs="Arial"/>
          <w:color w:val="0000FF"/>
          <w:kern w:val="0"/>
          <w:sz w:val="24"/>
          <w:szCs w:val="24"/>
          <w:u w:val="single"/>
        </w:rPr>
        <w:fldChar w:fldCharType="end"/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 xml:space="preserve"> 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、总部地址：浙江省杭州市萧山区市心北路2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60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号恒逸南岸明珠</w:t>
      </w:r>
    </w:p>
    <w:p>
      <w:pPr>
        <w:widowControl/>
        <w:spacing w:before="75" w:after="75"/>
        <w:jc w:val="left"/>
        <w:rPr>
          <w:rFonts w:hint="eastAsia"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7、广西地址：广西壮族自治区钦州市钦南区钦州港广西恒逸新材料有限公司</w:t>
      </w:r>
    </w:p>
    <w:p>
      <w:pPr>
        <w:jc w:val="center"/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jk3Y2NhNjU0Nzc4MjkzMjQ0MzgzZTNhM2E4ZjEifQ=="/>
  </w:docVars>
  <w:rsids>
    <w:rsidRoot w:val="00A4328A"/>
    <w:rsid w:val="000B2A09"/>
    <w:rsid w:val="000B4A48"/>
    <w:rsid w:val="000E482F"/>
    <w:rsid w:val="000F7BE1"/>
    <w:rsid w:val="001674D2"/>
    <w:rsid w:val="00184C32"/>
    <w:rsid w:val="001A05FB"/>
    <w:rsid w:val="001A196A"/>
    <w:rsid w:val="001B6D43"/>
    <w:rsid w:val="00214D7A"/>
    <w:rsid w:val="00232CF3"/>
    <w:rsid w:val="00286458"/>
    <w:rsid w:val="00296103"/>
    <w:rsid w:val="002C4237"/>
    <w:rsid w:val="002D20C0"/>
    <w:rsid w:val="002F13DC"/>
    <w:rsid w:val="00374AEE"/>
    <w:rsid w:val="003834F0"/>
    <w:rsid w:val="003C0F54"/>
    <w:rsid w:val="003D6466"/>
    <w:rsid w:val="00422970"/>
    <w:rsid w:val="0044762C"/>
    <w:rsid w:val="00456439"/>
    <w:rsid w:val="004A7AF8"/>
    <w:rsid w:val="004C4F2C"/>
    <w:rsid w:val="004E7124"/>
    <w:rsid w:val="00525683"/>
    <w:rsid w:val="00531097"/>
    <w:rsid w:val="00557B06"/>
    <w:rsid w:val="00572A8D"/>
    <w:rsid w:val="00587F67"/>
    <w:rsid w:val="005D6424"/>
    <w:rsid w:val="005D783B"/>
    <w:rsid w:val="005E7510"/>
    <w:rsid w:val="006817E8"/>
    <w:rsid w:val="00684027"/>
    <w:rsid w:val="00692F33"/>
    <w:rsid w:val="006B6915"/>
    <w:rsid w:val="006C0443"/>
    <w:rsid w:val="0075549B"/>
    <w:rsid w:val="00760B4F"/>
    <w:rsid w:val="007A1E61"/>
    <w:rsid w:val="007F076A"/>
    <w:rsid w:val="00801434"/>
    <w:rsid w:val="0084190C"/>
    <w:rsid w:val="00855562"/>
    <w:rsid w:val="008962F9"/>
    <w:rsid w:val="008A412F"/>
    <w:rsid w:val="008B31FF"/>
    <w:rsid w:val="008D0A2C"/>
    <w:rsid w:val="00904080"/>
    <w:rsid w:val="009360ED"/>
    <w:rsid w:val="00945E32"/>
    <w:rsid w:val="00993CD2"/>
    <w:rsid w:val="009B182A"/>
    <w:rsid w:val="009C2AAF"/>
    <w:rsid w:val="009F70C4"/>
    <w:rsid w:val="00A1175D"/>
    <w:rsid w:val="00A4328A"/>
    <w:rsid w:val="00A6299E"/>
    <w:rsid w:val="00A66822"/>
    <w:rsid w:val="00AC5E4F"/>
    <w:rsid w:val="00AC753B"/>
    <w:rsid w:val="00AE63F4"/>
    <w:rsid w:val="00B11AE7"/>
    <w:rsid w:val="00B216AE"/>
    <w:rsid w:val="00B27297"/>
    <w:rsid w:val="00B33EA8"/>
    <w:rsid w:val="00B778A0"/>
    <w:rsid w:val="00B77FC9"/>
    <w:rsid w:val="00B82ADD"/>
    <w:rsid w:val="00B85E6F"/>
    <w:rsid w:val="00BD3334"/>
    <w:rsid w:val="00C03E0C"/>
    <w:rsid w:val="00C531F8"/>
    <w:rsid w:val="00C630E6"/>
    <w:rsid w:val="00C80B6D"/>
    <w:rsid w:val="00C90F44"/>
    <w:rsid w:val="00CA5B36"/>
    <w:rsid w:val="00CA7628"/>
    <w:rsid w:val="00CB54C7"/>
    <w:rsid w:val="00CF595F"/>
    <w:rsid w:val="00D011B2"/>
    <w:rsid w:val="00D73E2D"/>
    <w:rsid w:val="00D91E76"/>
    <w:rsid w:val="00D95E1D"/>
    <w:rsid w:val="00DA19EB"/>
    <w:rsid w:val="00E32EAF"/>
    <w:rsid w:val="00E8388A"/>
    <w:rsid w:val="00E9132B"/>
    <w:rsid w:val="00E9600F"/>
    <w:rsid w:val="00EB7EA4"/>
    <w:rsid w:val="00F21E64"/>
    <w:rsid w:val="00F379EF"/>
    <w:rsid w:val="00FB3DAB"/>
    <w:rsid w:val="00FB6577"/>
    <w:rsid w:val="00FD5893"/>
    <w:rsid w:val="00FF7175"/>
    <w:rsid w:val="52497018"/>
    <w:rsid w:val="57B6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字符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Hengyi</Company>
  <Pages>3</Pages>
  <Words>291</Words>
  <Characters>1661</Characters>
  <Lines>13</Lines>
  <Paragraphs>3</Paragraphs>
  <TotalTime>101</TotalTime>
  <ScaleCrop>false</ScaleCrop>
  <LinksUpToDate>false</LinksUpToDate>
  <CharactersWithSpaces>1949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2022-05-27T05:44:00Z</dcterms:created>
  <dc:creator>Hengyi</dc:creator>
  <cp:lastModifiedBy>等风来</cp:lastModifiedBy>
  <dcterms:modified xsi:type="dcterms:W3CDTF">2023-12-19T11:24:47Z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1571EEB67B0A4BF9A77C071FAA73FC71_12</vt:lpwstr>
  </property>
</Properties>
</file>