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75" w:after="75"/>
        <w:jc w:val="center"/>
        <w:rPr>
          <w:rFonts w:hint="eastAsia" w:ascii="Arial" w:hAnsi="Arial" w:eastAsia="宋体" w:cs="Arial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b/>
          <w:bCs/>
          <w:color w:val="000000"/>
          <w:kern w:val="0"/>
          <w:sz w:val="24"/>
          <w:szCs w:val="24"/>
          <w:lang w:val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-683895</wp:posOffset>
            </wp:positionH>
            <wp:positionV relativeFrom="paragraph">
              <wp:posOffset>-300990</wp:posOffset>
            </wp:positionV>
            <wp:extent cx="768985" cy="641350"/>
            <wp:effectExtent l="0" t="0" r="0" b="6350"/>
            <wp:wrapNone/>
            <wp:docPr id="19345931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593167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710" cy="64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36"/>
          <w:szCs w:val="36"/>
        </w:rPr>
        <w:t>恒逸集团2</w:t>
      </w:r>
      <w:r>
        <w:rPr>
          <w:rFonts w:ascii="微软雅黑" w:hAnsi="微软雅黑" w:eastAsia="微软雅黑" w:cs="Arial"/>
          <w:b/>
          <w:bCs/>
          <w:color w:val="000000"/>
          <w:kern w:val="0"/>
          <w:sz w:val="36"/>
          <w:szCs w:val="36"/>
        </w:rPr>
        <w:t>024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36"/>
          <w:szCs w:val="36"/>
        </w:rPr>
        <w:t>校园招聘简章</w:t>
      </w:r>
    </w:p>
    <w:p>
      <w:pPr>
        <w:widowControl/>
        <w:spacing w:line="360" w:lineRule="exact"/>
        <w:jc w:val="left"/>
        <w:rPr>
          <w:rFonts w:ascii="宋体" w:hAnsi="宋体" w:eastAsia="宋体" w:cs="Arial"/>
          <w:b/>
          <w:bCs/>
          <w:color w:val="000000"/>
          <w:kern w:val="0"/>
          <w:sz w:val="24"/>
          <w:szCs w:val="24"/>
        </w:rPr>
      </w:pPr>
    </w:p>
    <w:p>
      <w:pPr>
        <w:widowControl/>
        <w:spacing w:line="360" w:lineRule="exact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b/>
          <w:bCs/>
          <w:color w:val="000000"/>
          <w:kern w:val="0"/>
          <w:sz w:val="24"/>
          <w:szCs w:val="24"/>
        </w:rPr>
        <w:t>一、公司简介</w:t>
      </w:r>
    </w:p>
    <w:p>
      <w:pPr>
        <w:spacing w:line="360" w:lineRule="exact"/>
        <w:ind w:firstLine="480" w:firstLineChars="200"/>
        <w:rPr>
          <w:rFonts w:ascii="微软雅黑" w:hAnsi="微软雅黑" w:eastAsia="微软雅黑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 xml:space="preserve">   </w:t>
      </w:r>
      <w:r>
        <w:rPr>
          <w:rFonts w:hint="eastAsia" w:ascii="微软雅黑" w:hAnsi="微软雅黑" w:eastAsia="微软雅黑"/>
        </w:rPr>
        <w:t>恒逸集团始创于1974年，是一家业务覆盖</w:t>
      </w:r>
      <w:r>
        <w:rPr>
          <w:rFonts w:hint="eastAsia" w:ascii="微软雅黑" w:hAnsi="微软雅黑" w:eastAsia="微软雅黑"/>
          <w:b/>
          <w:bCs/>
          <w:color w:val="FF0000"/>
        </w:rPr>
        <w:t>石油化工、纺织原材料、金融、贸易、物流</w:t>
      </w:r>
      <w:r>
        <w:rPr>
          <w:rFonts w:hint="eastAsia" w:ascii="微软雅黑" w:hAnsi="微软雅黑" w:eastAsia="微软雅黑"/>
        </w:rPr>
        <w:t>等领域的国际化企业。集团现有</w:t>
      </w:r>
      <w:r>
        <w:rPr>
          <w:rFonts w:hint="eastAsia" w:ascii="微软雅黑" w:hAnsi="微软雅黑" w:eastAsia="微软雅黑"/>
          <w:b/>
        </w:rPr>
        <w:t>员工2</w:t>
      </w:r>
      <w:r>
        <w:rPr>
          <w:rFonts w:ascii="微软雅黑" w:hAnsi="微软雅黑" w:eastAsia="微软雅黑"/>
          <w:b/>
        </w:rPr>
        <w:t>5</w:t>
      </w:r>
      <w:r>
        <w:rPr>
          <w:rFonts w:hint="eastAsia" w:ascii="微软雅黑" w:hAnsi="微软雅黑" w:eastAsia="微软雅黑"/>
          <w:b/>
        </w:rPr>
        <w:t>000余名</w:t>
      </w:r>
      <w:r>
        <w:rPr>
          <w:rFonts w:hint="eastAsia" w:ascii="微软雅黑" w:hAnsi="微软雅黑" w:eastAsia="微软雅黑"/>
        </w:rPr>
        <w:t>，</w:t>
      </w:r>
      <w:r>
        <w:rPr>
          <w:rFonts w:hint="eastAsia" w:ascii="微软雅黑" w:hAnsi="微软雅黑" w:eastAsia="微软雅黑"/>
          <w:b/>
        </w:rPr>
        <w:t>总资产超</w:t>
      </w:r>
      <w:r>
        <w:rPr>
          <w:rFonts w:hint="eastAsia" w:ascii="微软雅黑" w:hAnsi="微软雅黑" w:eastAsia="微软雅黑"/>
          <w:b/>
          <w:bCs/>
        </w:rPr>
        <w:t>1</w:t>
      </w:r>
      <w:r>
        <w:rPr>
          <w:rFonts w:ascii="微软雅黑" w:hAnsi="微软雅黑" w:eastAsia="微软雅黑"/>
          <w:b/>
          <w:bCs/>
        </w:rPr>
        <w:t>5</w:t>
      </w:r>
      <w:r>
        <w:rPr>
          <w:rFonts w:hint="eastAsia" w:ascii="微软雅黑" w:hAnsi="微软雅黑" w:eastAsia="微软雅黑"/>
          <w:b/>
          <w:bCs/>
        </w:rPr>
        <w:t>00亿</w:t>
      </w:r>
      <w:r>
        <w:rPr>
          <w:rFonts w:hint="eastAsia" w:ascii="微软雅黑" w:hAnsi="微软雅黑" w:eastAsia="微软雅黑"/>
          <w:b/>
        </w:rPr>
        <w:t>元</w:t>
      </w:r>
      <w:r>
        <w:rPr>
          <w:rFonts w:hint="eastAsia" w:ascii="微软雅黑" w:hAnsi="微软雅黑" w:eastAsia="微软雅黑"/>
        </w:rPr>
        <w:t>，2</w:t>
      </w:r>
      <w:r>
        <w:rPr>
          <w:rFonts w:ascii="微软雅黑" w:hAnsi="微软雅黑" w:eastAsia="微软雅黑"/>
        </w:rPr>
        <w:t>022</w:t>
      </w:r>
      <w:r>
        <w:rPr>
          <w:rFonts w:hint="eastAsia" w:ascii="微软雅黑" w:hAnsi="微软雅黑" w:eastAsia="微软雅黑"/>
          <w:b/>
        </w:rPr>
        <w:t>年</w:t>
      </w:r>
      <w:r>
        <w:rPr>
          <w:rFonts w:hint="eastAsia" w:ascii="微软雅黑" w:hAnsi="微软雅黑" w:eastAsia="微软雅黑"/>
          <w:b/>
          <w:bCs/>
        </w:rPr>
        <w:t>营收值3856.61亿元</w:t>
      </w:r>
      <w:r>
        <w:rPr>
          <w:rFonts w:hint="eastAsia" w:ascii="微软雅黑" w:hAnsi="微软雅黑" w:eastAsia="微软雅黑"/>
        </w:rPr>
        <w:t>，形成了富有竞争力的涤锦“双纶”驱动模式和“柱状型”产业结构，拥有800万吨/年炼油加工能力、2200万吨/年PTA产能和1200万吨/年涤纶及锦纶产能，现已成为全球最大的PTA-聚酯和己内酰胺-锦纶双产业链化纤生产商。恒逸</w:t>
      </w:r>
      <w:r>
        <w:rPr>
          <w:rFonts w:hint="eastAsia" w:ascii="微软雅黑" w:hAnsi="微软雅黑" w:eastAsia="微软雅黑"/>
          <w:b/>
          <w:bCs/>
          <w:color w:val="FF0000"/>
        </w:rPr>
        <w:t>2</w:t>
      </w:r>
      <w:r>
        <w:rPr>
          <w:rFonts w:ascii="微软雅黑" w:hAnsi="微软雅黑" w:eastAsia="微软雅黑"/>
          <w:b/>
          <w:bCs/>
          <w:color w:val="FF0000"/>
        </w:rPr>
        <w:t>021</w:t>
      </w:r>
      <w:r>
        <w:rPr>
          <w:rFonts w:hint="eastAsia" w:ascii="微软雅黑" w:hAnsi="微软雅黑" w:eastAsia="微软雅黑"/>
          <w:b/>
          <w:bCs/>
          <w:color w:val="FF0000"/>
        </w:rPr>
        <w:t>年PTA、聚酯化纤产能位居全球第一，</w:t>
      </w:r>
      <w:r>
        <w:rPr>
          <w:rFonts w:hint="eastAsia" w:ascii="微软雅黑" w:hAnsi="微软雅黑" w:eastAsia="微软雅黑"/>
        </w:rPr>
        <w:t>为全球</w:t>
      </w:r>
      <w:r>
        <w:rPr>
          <w:rFonts w:ascii="微软雅黑" w:hAnsi="微软雅黑" w:eastAsia="微软雅黑"/>
        </w:rPr>
        <w:t>8</w:t>
      </w:r>
      <w:r>
        <w:rPr>
          <w:rFonts w:hint="eastAsia" w:ascii="微软雅黑" w:hAnsi="微软雅黑" w:eastAsia="微软雅黑"/>
        </w:rPr>
        <w:t>0多个国家和地区的客户提供产品及服务。集团旗下子公司</w:t>
      </w:r>
      <w:r>
        <w:rPr>
          <w:rFonts w:hint="eastAsia" w:ascii="微软雅黑" w:hAnsi="微软雅黑" w:eastAsia="微软雅黑"/>
          <w:b/>
        </w:rPr>
        <w:t>恒逸石化（</w:t>
      </w:r>
      <w:r>
        <w:rPr>
          <w:rFonts w:hint="eastAsia" w:ascii="微软雅黑" w:hAnsi="微软雅黑" w:eastAsia="微软雅黑"/>
          <w:b/>
          <w:bCs/>
        </w:rPr>
        <w:t>000703.SZ</w:t>
      </w:r>
      <w:r>
        <w:rPr>
          <w:rFonts w:hint="eastAsia" w:ascii="微软雅黑" w:hAnsi="微软雅黑" w:eastAsia="微软雅黑"/>
          <w:b/>
        </w:rPr>
        <w:t>）</w:t>
      </w:r>
      <w:r>
        <w:rPr>
          <w:rFonts w:hint="eastAsia" w:ascii="微软雅黑" w:hAnsi="微软雅黑" w:eastAsia="微软雅黑"/>
        </w:rPr>
        <w:t>于2011年</w:t>
      </w:r>
      <w:r>
        <w:rPr>
          <w:rFonts w:hint="eastAsia" w:ascii="微软雅黑" w:hAnsi="微软雅黑" w:eastAsia="微软雅黑"/>
          <w:bCs/>
        </w:rPr>
        <w:t>上市</w:t>
      </w:r>
      <w:r>
        <w:rPr>
          <w:rFonts w:hint="eastAsia" w:ascii="微软雅黑" w:hAnsi="微软雅黑" w:eastAsia="微软雅黑"/>
        </w:rPr>
        <w:t>、参股</w:t>
      </w:r>
      <w:r>
        <w:rPr>
          <w:rFonts w:hint="eastAsia" w:ascii="微软雅黑" w:hAnsi="微软雅黑" w:eastAsia="微软雅黑"/>
          <w:bCs/>
        </w:rPr>
        <w:t>浙商银行（601916.HK）</w:t>
      </w:r>
      <w:r>
        <w:rPr>
          <w:rFonts w:hint="eastAsia" w:ascii="微软雅黑" w:hAnsi="微软雅黑" w:eastAsia="微软雅黑"/>
        </w:rPr>
        <w:t>2016年上市。202</w:t>
      </w:r>
      <w:r>
        <w:rPr>
          <w:rFonts w:ascii="微软雅黑" w:hAnsi="微软雅黑" w:eastAsia="微软雅黑"/>
        </w:rPr>
        <w:t>3</w:t>
      </w:r>
      <w:r>
        <w:rPr>
          <w:rFonts w:hint="eastAsia" w:ascii="微软雅黑" w:hAnsi="微软雅黑" w:eastAsia="微软雅黑"/>
        </w:rPr>
        <w:t>年集团位列</w:t>
      </w:r>
      <w:r>
        <w:rPr>
          <w:rFonts w:hint="eastAsia" w:ascii="微软雅黑" w:hAnsi="微软雅黑" w:eastAsia="微软雅黑"/>
          <w:b/>
          <w:bCs/>
          <w:color w:val="FF0000"/>
        </w:rPr>
        <w:t>《财富》世界500强第</w:t>
      </w:r>
      <w:r>
        <w:rPr>
          <w:rFonts w:ascii="微软雅黑" w:hAnsi="微软雅黑" w:eastAsia="微软雅黑"/>
          <w:b/>
          <w:bCs/>
          <w:color w:val="FF0000"/>
        </w:rPr>
        <w:t>244</w:t>
      </w:r>
      <w:r>
        <w:rPr>
          <w:rFonts w:hint="eastAsia" w:ascii="微软雅黑" w:hAnsi="微软雅黑" w:eastAsia="微软雅黑"/>
          <w:b/>
          <w:bCs/>
          <w:color w:val="FF0000"/>
        </w:rPr>
        <w:t>位</w:t>
      </w:r>
      <w:r>
        <w:rPr>
          <w:rFonts w:hint="eastAsia" w:ascii="微软雅黑" w:hAnsi="微软雅黑" w:eastAsia="微软雅黑"/>
        </w:rPr>
        <w:t>，</w:t>
      </w:r>
      <w:r>
        <w:rPr>
          <w:rFonts w:hint="eastAsia" w:ascii="微软雅黑" w:hAnsi="微软雅黑" w:eastAsia="微软雅黑"/>
          <w:b/>
          <w:bCs/>
          <w:color w:val="FF0000"/>
        </w:rPr>
        <w:t>全球化工企业5</w:t>
      </w:r>
      <w:r>
        <w:rPr>
          <w:rFonts w:ascii="微软雅黑" w:hAnsi="微软雅黑" w:eastAsia="微软雅黑"/>
          <w:b/>
          <w:bCs/>
          <w:color w:val="FF0000"/>
        </w:rPr>
        <w:t>0</w:t>
      </w:r>
      <w:r>
        <w:rPr>
          <w:rFonts w:hint="eastAsia" w:ascii="微软雅黑" w:hAnsi="微软雅黑" w:eastAsia="微软雅黑"/>
          <w:b/>
          <w:bCs/>
          <w:color w:val="FF0000"/>
        </w:rPr>
        <w:t>强</w:t>
      </w:r>
      <w:r>
        <w:rPr>
          <w:rFonts w:hint="eastAsia" w:ascii="微软雅黑" w:hAnsi="微软雅黑" w:eastAsia="微软雅黑"/>
        </w:rPr>
        <w:t>；并连续</w:t>
      </w:r>
      <w:r>
        <w:rPr>
          <w:rFonts w:ascii="微软雅黑" w:hAnsi="微软雅黑" w:eastAsia="微软雅黑"/>
        </w:rPr>
        <w:t>20</w:t>
      </w:r>
      <w:r>
        <w:rPr>
          <w:rFonts w:hint="eastAsia" w:ascii="微软雅黑" w:hAnsi="微软雅黑" w:eastAsia="微软雅黑"/>
        </w:rPr>
        <w:t>年位居</w:t>
      </w:r>
      <w:r>
        <w:rPr>
          <w:rFonts w:hint="eastAsia" w:ascii="微软雅黑" w:hAnsi="微软雅黑" w:eastAsia="微软雅黑"/>
          <w:b/>
          <w:bCs/>
          <w:color w:val="FF0000"/>
        </w:rPr>
        <w:t>中国企业500强</w:t>
      </w:r>
      <w:r>
        <w:rPr>
          <w:rFonts w:hint="eastAsia" w:ascii="微软雅黑" w:hAnsi="微软雅黑" w:eastAsia="微软雅黑"/>
          <w:b/>
        </w:rPr>
        <w:t>；同时位居</w:t>
      </w:r>
      <w:r>
        <w:rPr>
          <w:rFonts w:hint="eastAsia" w:ascii="微软雅黑" w:hAnsi="微软雅黑" w:eastAsia="微软雅黑"/>
          <w:b/>
          <w:bCs/>
          <w:color w:val="FF0000"/>
        </w:rPr>
        <w:t>中国民营企业20强</w:t>
      </w:r>
      <w:r>
        <w:rPr>
          <w:rFonts w:hint="eastAsia" w:ascii="微软雅黑" w:hAnsi="微软雅黑" w:eastAsia="微软雅黑"/>
          <w:b/>
        </w:rPr>
        <w:t>、</w:t>
      </w:r>
      <w:r>
        <w:rPr>
          <w:rFonts w:hint="eastAsia" w:ascii="微软雅黑" w:hAnsi="微软雅黑" w:eastAsia="微软雅黑"/>
          <w:b/>
          <w:bCs/>
          <w:color w:val="FF0000"/>
        </w:rPr>
        <w:t>浙江百强企业前10强</w:t>
      </w:r>
      <w:r>
        <w:rPr>
          <w:rFonts w:hint="eastAsia" w:ascii="微软雅黑" w:hAnsi="微软雅黑" w:eastAsia="微软雅黑"/>
          <w:b/>
        </w:rPr>
        <w:t>。</w:t>
      </w:r>
      <w:r>
        <w:rPr>
          <w:rFonts w:hint="eastAsia" w:ascii="微软雅黑" w:hAnsi="微软雅黑" w:eastAsia="微软雅黑"/>
          <w:b/>
          <w:bCs/>
        </w:rPr>
        <w:t>恒逸文莱大摩拉岛（PMB）石油化工项目</w:t>
      </w:r>
      <w:r>
        <w:rPr>
          <w:rFonts w:hint="eastAsia" w:ascii="微软雅黑" w:hAnsi="微软雅黑" w:eastAsia="微软雅黑"/>
          <w:bCs/>
        </w:rPr>
        <w:t>是国家“一带一路”重点项目</w:t>
      </w:r>
      <w:r>
        <w:rPr>
          <w:rFonts w:hint="eastAsia" w:ascii="微软雅黑" w:hAnsi="微软雅黑" w:eastAsia="微软雅黑"/>
        </w:rPr>
        <w:t>。集团设有</w:t>
      </w:r>
      <w:r>
        <w:rPr>
          <w:rFonts w:hint="eastAsia" w:ascii="微软雅黑" w:hAnsi="微软雅黑" w:eastAsia="微软雅黑"/>
          <w:bCs/>
        </w:rPr>
        <w:t>国家级</w:t>
      </w:r>
      <w:r>
        <w:rPr>
          <w:rFonts w:hint="eastAsia" w:ascii="微软雅黑" w:hAnsi="微软雅黑" w:eastAsia="微软雅黑"/>
          <w:b/>
          <w:bCs/>
          <w:color w:val="FF0000"/>
        </w:rPr>
        <w:t>博士后工作站</w:t>
      </w:r>
      <w:r>
        <w:rPr>
          <w:rFonts w:hint="eastAsia" w:ascii="微软雅黑" w:hAnsi="微软雅黑" w:eastAsia="微软雅黑"/>
          <w:b/>
        </w:rPr>
        <w:t>、</w:t>
      </w:r>
      <w:r>
        <w:rPr>
          <w:rFonts w:hint="eastAsia" w:ascii="微软雅黑" w:hAnsi="微软雅黑" w:eastAsia="微软雅黑"/>
          <w:b/>
          <w:bCs/>
          <w:color w:val="FF0000"/>
        </w:rPr>
        <w:t>国家级企业技术中心</w:t>
      </w:r>
      <w:r>
        <w:rPr>
          <w:rFonts w:hint="eastAsia" w:ascii="微软雅黑" w:hAnsi="微软雅黑" w:eastAsia="微软雅黑"/>
        </w:rPr>
        <w:t>，与诸多</w:t>
      </w:r>
      <w:r>
        <w:rPr>
          <w:rFonts w:hint="eastAsia" w:ascii="微软雅黑" w:hAnsi="微软雅黑" w:eastAsia="微软雅黑"/>
          <w:bCs/>
        </w:rPr>
        <w:t>高校建立了联合实验平台</w:t>
      </w:r>
      <w:r>
        <w:rPr>
          <w:rFonts w:hint="eastAsia" w:ascii="微软雅黑" w:hAnsi="微软雅黑" w:eastAsia="微软雅黑"/>
        </w:rPr>
        <w:t>。先后获得</w:t>
      </w:r>
      <w:r>
        <w:rPr>
          <w:rFonts w:hint="eastAsia" w:ascii="微软雅黑" w:hAnsi="微软雅黑" w:eastAsia="微软雅黑"/>
          <w:bCs/>
          <w:color w:val="FF0000"/>
        </w:rPr>
        <w:t>国家科学技术进步奖</w:t>
      </w:r>
      <w:r>
        <w:rPr>
          <w:rFonts w:hint="eastAsia" w:ascii="微软雅黑" w:hAnsi="微软雅黑" w:eastAsia="微软雅黑"/>
          <w:bCs/>
        </w:rPr>
        <w:t>、中国名牌、</w:t>
      </w:r>
      <w:r>
        <w:rPr>
          <w:rFonts w:hint="eastAsia" w:ascii="微软雅黑" w:hAnsi="微软雅黑" w:eastAsia="微软雅黑"/>
        </w:rPr>
        <w:t>诚信企业等诸多荣誉。秉承</w:t>
      </w:r>
      <w:r>
        <w:rPr>
          <w:rFonts w:hint="eastAsia" w:ascii="微软雅黑" w:hAnsi="微软雅黑" w:eastAsia="微软雅黑"/>
          <w:b/>
        </w:rPr>
        <w:t>“永不止步，缔造辉煌”</w:t>
      </w:r>
      <w:r>
        <w:rPr>
          <w:rFonts w:hint="eastAsia" w:ascii="微软雅黑" w:hAnsi="微软雅黑" w:eastAsia="微软雅黑"/>
        </w:rPr>
        <w:t>的企业精神，矢志不渝做强主业，坚定不移地推进科研、智能制造工程，全面提升综合竞争力，</w:t>
      </w:r>
      <w:r>
        <w:rPr>
          <w:rFonts w:hint="eastAsia" w:ascii="微软雅黑" w:hAnsi="微软雅黑" w:eastAsia="微软雅黑"/>
          <w:b/>
          <w:bCs/>
        </w:rPr>
        <w:t>致力于成为世界国际一流的石化产业集团</w:t>
      </w:r>
      <w:r>
        <w:rPr>
          <w:rFonts w:hint="eastAsia" w:ascii="微软雅黑" w:hAnsi="微软雅黑" w:eastAsia="微软雅黑"/>
        </w:rPr>
        <w:t>。</w:t>
      </w:r>
    </w:p>
    <w:p>
      <w:pPr>
        <w:widowControl/>
        <w:spacing w:line="360" w:lineRule="exact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b/>
          <w:bCs/>
          <w:color w:val="000000"/>
          <w:kern w:val="0"/>
          <w:sz w:val="24"/>
          <w:szCs w:val="24"/>
        </w:rPr>
        <w:t>二、招聘职位</w:t>
      </w:r>
    </w:p>
    <w:tbl>
      <w:tblPr>
        <w:tblStyle w:val="5"/>
        <w:tblW w:w="8222" w:type="dxa"/>
        <w:tblInd w:w="105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9"/>
        <w:gridCol w:w="1701"/>
        <w:gridCol w:w="992"/>
        <w:gridCol w:w="2813"/>
        <w:gridCol w:w="2007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18"/>
                <w:szCs w:val="24"/>
              </w:rPr>
            </w:pPr>
            <w:r>
              <w:rPr>
                <w:rFonts w:hint="eastAsia" w:ascii="微软雅黑" w:hAnsi="微软雅黑" w:eastAsia="微软雅黑" w:cs="Arial"/>
                <w:b/>
                <w:bCs/>
                <w:color w:val="000000"/>
                <w:kern w:val="0"/>
                <w:sz w:val="18"/>
                <w:szCs w:val="24"/>
              </w:rPr>
              <w:t>序号</w:t>
            </w:r>
          </w:p>
        </w:tc>
        <w:tc>
          <w:tcPr>
            <w:tcW w:w="170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18"/>
                <w:szCs w:val="24"/>
              </w:rPr>
            </w:pPr>
            <w:r>
              <w:rPr>
                <w:rFonts w:hint="eastAsia" w:ascii="微软雅黑" w:hAnsi="微软雅黑" w:eastAsia="微软雅黑" w:cs="Arial"/>
                <w:b/>
                <w:bCs/>
                <w:color w:val="000000"/>
                <w:kern w:val="0"/>
                <w:sz w:val="18"/>
                <w:szCs w:val="24"/>
              </w:rPr>
              <w:t>职位名称</w:t>
            </w:r>
          </w:p>
        </w:tc>
        <w:tc>
          <w:tcPr>
            <w:tcW w:w="99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18"/>
                <w:szCs w:val="24"/>
              </w:rPr>
            </w:pPr>
            <w:r>
              <w:rPr>
                <w:rFonts w:hint="eastAsia" w:ascii="微软雅黑" w:hAnsi="微软雅黑" w:eastAsia="微软雅黑" w:cs="Arial"/>
                <w:b/>
                <w:bCs/>
                <w:color w:val="000000"/>
                <w:kern w:val="0"/>
                <w:sz w:val="18"/>
                <w:szCs w:val="24"/>
              </w:rPr>
              <w:t>学历</w:t>
            </w:r>
          </w:p>
        </w:tc>
        <w:tc>
          <w:tcPr>
            <w:tcW w:w="281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18"/>
                <w:szCs w:val="24"/>
              </w:rPr>
            </w:pPr>
            <w:r>
              <w:rPr>
                <w:rFonts w:hint="eastAsia" w:ascii="微软雅黑" w:hAnsi="微软雅黑" w:eastAsia="微软雅黑" w:cs="Arial"/>
                <w:b/>
                <w:bCs/>
                <w:color w:val="000000"/>
                <w:kern w:val="0"/>
                <w:sz w:val="18"/>
                <w:szCs w:val="24"/>
              </w:rPr>
              <w:t>专业</w:t>
            </w:r>
          </w:p>
        </w:tc>
        <w:tc>
          <w:tcPr>
            <w:tcW w:w="20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kern w:val="0"/>
                <w:sz w:val="18"/>
                <w:szCs w:val="24"/>
              </w:rPr>
            </w:pPr>
            <w:r>
              <w:rPr>
                <w:rFonts w:hint="eastAsia" w:ascii="微软雅黑" w:hAnsi="微软雅黑" w:eastAsia="微软雅黑" w:cs="Arial"/>
                <w:b/>
                <w:bCs/>
                <w:color w:val="000000"/>
                <w:kern w:val="0"/>
                <w:sz w:val="18"/>
                <w:szCs w:val="24"/>
              </w:rPr>
              <w:t>备注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85" w:hRule="exact"/>
        </w:trPr>
        <w:tc>
          <w:tcPr>
            <w:tcW w:w="70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18"/>
                <w:szCs w:val="24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kern w:val="0"/>
                <w:sz w:val="18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24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24"/>
              </w:rPr>
              <w:t>热能电力运维岗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18"/>
                <w:szCs w:val="24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24"/>
              </w:rPr>
              <w:t>大专</w:t>
            </w: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Arial" w:hAnsi="Arial" w:eastAsia="宋体" w:cs="Arial"/>
                <w:bCs/>
                <w:color w:val="000000"/>
                <w:kern w:val="0"/>
                <w:sz w:val="18"/>
                <w:szCs w:val="24"/>
              </w:rPr>
            </w:pPr>
            <w:r>
              <w:rPr>
                <w:rFonts w:hint="eastAsia" w:ascii="Arial" w:hAnsi="Arial" w:eastAsia="宋体" w:cs="Arial"/>
                <w:bCs/>
                <w:color w:val="000000"/>
                <w:kern w:val="0"/>
                <w:sz w:val="18"/>
                <w:szCs w:val="24"/>
              </w:rPr>
              <w:t>热能动力工程技术、发电运行技术、热工自动化技术、电力系统自动化技术、电力系统机电保护技术、供用电技术、发电厂及电力系统、输配电工程技术等</w:t>
            </w:r>
          </w:p>
        </w:tc>
        <w:tc>
          <w:tcPr>
            <w:tcW w:w="2007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kern w:val="0"/>
                <w:sz w:val="18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5" w:hRule="exact"/>
        </w:trPr>
        <w:tc>
          <w:tcPr>
            <w:tcW w:w="70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18"/>
                <w:szCs w:val="24"/>
              </w:rPr>
            </w:pPr>
            <w:r>
              <w:rPr>
                <w:rFonts w:hint="eastAsia" w:ascii="Arial" w:hAnsi="Arial" w:eastAsia="宋体" w:cs="Arial"/>
                <w:b/>
                <w:bCs/>
                <w:color w:val="000000"/>
                <w:kern w:val="0"/>
                <w:sz w:val="18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24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24"/>
              </w:rPr>
              <w:t>电气仪表检修岗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18"/>
                <w:szCs w:val="24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24"/>
              </w:rPr>
              <w:t>大专</w:t>
            </w: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24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24"/>
              </w:rPr>
              <w:t>机电一体化技术、机电设备维修、电气系统自动化技术、电气自动化技术等</w:t>
            </w:r>
          </w:p>
        </w:tc>
        <w:tc>
          <w:tcPr>
            <w:tcW w:w="2007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kern w:val="0"/>
                <w:sz w:val="18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0" w:hRule="exact"/>
        </w:trPr>
        <w:tc>
          <w:tcPr>
            <w:tcW w:w="70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Arial" w:hAnsi="Arial" w:eastAsia="宋体" w:cs="Arial"/>
                <w:b/>
                <w:bCs/>
                <w:color w:val="000000"/>
                <w:kern w:val="0"/>
                <w:sz w:val="18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24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24"/>
              </w:rPr>
              <w:t>机械设备检修岗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24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24"/>
              </w:rPr>
              <w:t>大专</w:t>
            </w: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24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24"/>
              </w:rPr>
              <w:t>机电一体化技术、机械自动化、机械设计与制造等</w:t>
            </w:r>
          </w:p>
        </w:tc>
        <w:tc>
          <w:tcPr>
            <w:tcW w:w="2007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7" w:hRule="exact"/>
        </w:trPr>
        <w:tc>
          <w:tcPr>
            <w:tcW w:w="70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b/>
                <w:bCs/>
                <w:color w:val="000000"/>
                <w:kern w:val="0"/>
                <w:sz w:val="18"/>
                <w:szCs w:val="24"/>
              </w:rPr>
            </w:pPr>
            <w:r>
              <w:rPr>
                <w:rFonts w:hint="eastAsia" w:ascii="Arial" w:hAnsi="Arial" w:eastAsia="宋体" w:cs="Arial"/>
                <w:b/>
                <w:bCs/>
                <w:color w:val="000000"/>
                <w:kern w:val="0"/>
                <w:sz w:val="18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24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24"/>
              </w:rPr>
              <w:t>智能制造运维岗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24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24"/>
              </w:rPr>
              <w:t>大专</w:t>
            </w: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Arial" w:hAnsi="Arial" w:eastAsia="宋体" w:cs="Arial"/>
                <w:color w:val="000000"/>
                <w:kern w:val="0"/>
                <w:sz w:val="18"/>
                <w:szCs w:val="24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24"/>
              </w:rPr>
              <w:t>工业机器人技术、智能制造技术、机器人工程、自动化等相关专业</w:t>
            </w:r>
          </w:p>
        </w:tc>
        <w:tc>
          <w:tcPr>
            <w:tcW w:w="2007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kern w:val="0"/>
                <w:sz w:val="18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42" w:hRule="exact"/>
        </w:trPr>
        <w:tc>
          <w:tcPr>
            <w:tcW w:w="709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18"/>
                <w:szCs w:val="24"/>
              </w:rPr>
            </w:pPr>
            <w:r>
              <w:rPr>
                <w:rFonts w:ascii="Arial" w:hAnsi="Arial" w:eastAsia="宋体" w:cs="Arial"/>
                <w:b/>
                <w:bCs/>
                <w:color w:val="000000"/>
                <w:kern w:val="0"/>
                <w:sz w:val="18"/>
                <w:szCs w:val="24"/>
              </w:rPr>
              <w:t>7</w:t>
            </w: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nil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18"/>
                <w:szCs w:val="24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24"/>
              </w:rPr>
              <w:t>机械设备技术员</w:t>
            </w: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nil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18"/>
                <w:szCs w:val="24"/>
              </w:rPr>
            </w:pPr>
            <w:r>
              <w:rPr>
                <w:rFonts w:hint="eastAsia" w:ascii="宋体" w:hAnsi="宋体" w:eastAsia="宋体" w:cs="Arial"/>
                <w:b/>
                <w:bCs/>
                <w:color w:val="000000"/>
                <w:kern w:val="0"/>
                <w:sz w:val="18"/>
                <w:szCs w:val="24"/>
              </w:rPr>
              <w:t>大专</w:t>
            </w:r>
          </w:p>
        </w:tc>
        <w:tc>
          <w:tcPr>
            <w:tcW w:w="2813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18"/>
                <w:szCs w:val="24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24"/>
              </w:rPr>
              <w:t>机电一体化、自动化、机械设计与制造、机械制造与自动化、化工装备、机电设备维修等专业</w:t>
            </w:r>
          </w:p>
        </w:tc>
        <w:tc>
          <w:tcPr>
            <w:tcW w:w="2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kern w:val="0"/>
                <w:sz w:val="18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" w:hRule="exact"/>
        </w:trPr>
        <w:tc>
          <w:tcPr>
            <w:tcW w:w="709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b/>
                <w:bCs/>
                <w:color w:val="000000"/>
                <w:kern w:val="0"/>
                <w:sz w:val="18"/>
                <w:szCs w:val="24"/>
              </w:rPr>
            </w:pPr>
          </w:p>
        </w:tc>
        <w:tc>
          <w:tcPr>
            <w:tcW w:w="1701" w:type="dxa"/>
            <w:vMerge w:val="continue"/>
            <w:tcBorders>
              <w:left w:val="nil"/>
              <w:bottom w:val="single" w:color="auto" w:sz="4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24"/>
              </w:rPr>
            </w:pPr>
          </w:p>
        </w:tc>
        <w:tc>
          <w:tcPr>
            <w:tcW w:w="992" w:type="dxa"/>
            <w:vMerge w:val="continue"/>
            <w:tcBorders>
              <w:left w:val="nil"/>
              <w:bottom w:val="single" w:color="auto" w:sz="4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24"/>
              </w:rPr>
            </w:pPr>
          </w:p>
        </w:tc>
        <w:tc>
          <w:tcPr>
            <w:tcW w:w="281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ascii="宋体" w:hAnsi="宋体" w:eastAsia="宋体" w:cs="Arial"/>
                <w:b/>
                <w:bCs/>
                <w:color w:val="000000"/>
                <w:kern w:val="0"/>
                <w:sz w:val="18"/>
                <w:szCs w:val="24"/>
              </w:rPr>
            </w:pPr>
          </w:p>
        </w:tc>
        <w:tc>
          <w:tcPr>
            <w:tcW w:w="2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Arial" w:hAnsi="Arial" w:eastAsia="宋体" w:cs="Arial"/>
                <w:color w:val="000000"/>
                <w:kern w:val="0"/>
                <w:sz w:val="18"/>
                <w:szCs w:val="24"/>
              </w:rPr>
            </w:pPr>
          </w:p>
        </w:tc>
      </w:tr>
    </w:tbl>
    <w:p>
      <w:pPr>
        <w:widowControl/>
        <w:spacing w:before="75" w:after="75"/>
        <w:jc w:val="left"/>
        <w:rPr>
          <w:rFonts w:ascii="宋体" w:hAnsi="宋体" w:eastAsia="宋体" w:cs="Arial"/>
          <w:b/>
          <w:bCs/>
          <w:color w:val="000000"/>
          <w:kern w:val="0"/>
          <w:sz w:val="24"/>
          <w:szCs w:val="24"/>
        </w:rPr>
      </w:pPr>
    </w:p>
    <w:p>
      <w:pPr>
        <w:widowControl/>
        <w:spacing w:before="75" w:after="75"/>
        <w:jc w:val="left"/>
        <w:rPr>
          <w:rFonts w:hint="eastAsia" w:ascii="宋体" w:hAnsi="宋体" w:eastAsia="宋体" w:cs="Arial"/>
          <w:b/>
          <w:bCs/>
          <w:color w:val="000000"/>
          <w:kern w:val="0"/>
          <w:sz w:val="24"/>
          <w:szCs w:val="24"/>
        </w:rPr>
      </w:pPr>
    </w:p>
    <w:p>
      <w:pPr>
        <w:widowControl/>
        <w:spacing w:before="75" w:after="75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b/>
          <w:bCs/>
          <w:color w:val="000000"/>
          <w:kern w:val="0"/>
          <w:sz w:val="24"/>
          <w:szCs w:val="24"/>
        </w:rPr>
        <w:t>三、薪资、福利、工作地点</w:t>
      </w:r>
    </w:p>
    <w:p>
      <w:pPr>
        <w:widowControl/>
        <w:spacing w:before="75" w:after="75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1</w:t>
      </w: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、薪资（税前）：</w:t>
      </w:r>
    </w:p>
    <w:p>
      <w:pPr>
        <w:widowControl/>
        <w:spacing w:before="75" w:after="75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第一年：综合年收入</w:t>
      </w:r>
      <w:r>
        <w:rPr>
          <w:rFonts w:ascii="宋体" w:hAnsi="宋体" w:eastAsia="宋体" w:cs="Arial"/>
          <w:color w:val="000000"/>
          <w:kern w:val="0"/>
          <w:sz w:val="24"/>
          <w:szCs w:val="24"/>
        </w:rPr>
        <w:t>8</w:t>
      </w: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-</w:t>
      </w:r>
      <w:r>
        <w:rPr>
          <w:rFonts w:ascii="宋体" w:hAnsi="宋体" w:eastAsia="宋体" w:cs="Arial"/>
          <w:color w:val="000000"/>
          <w:kern w:val="0"/>
          <w:sz w:val="24"/>
          <w:szCs w:val="24"/>
        </w:rPr>
        <w:t>10</w:t>
      </w: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万/年，综合月薪</w:t>
      </w:r>
      <w:r>
        <w:rPr>
          <w:rFonts w:ascii="Arial" w:hAnsi="Arial" w:eastAsia="宋体" w:cs="Arial"/>
          <w:color w:val="000000"/>
          <w:kern w:val="0"/>
          <w:sz w:val="24"/>
          <w:szCs w:val="24"/>
        </w:rPr>
        <w:t>6</w:t>
      </w:r>
      <w:r>
        <w:rPr>
          <w:rFonts w:hint="eastAsia" w:ascii="Arial" w:hAnsi="Arial" w:eastAsia="宋体" w:cs="Arial"/>
          <w:color w:val="000000"/>
          <w:kern w:val="0"/>
          <w:sz w:val="24"/>
          <w:szCs w:val="24"/>
        </w:rPr>
        <w:t>000</w:t>
      </w:r>
      <w:r>
        <w:rPr>
          <w:rFonts w:ascii="Arial" w:hAnsi="Arial" w:eastAsia="宋体" w:cs="Arial"/>
          <w:color w:val="000000"/>
          <w:kern w:val="0"/>
          <w:sz w:val="24"/>
          <w:szCs w:val="24"/>
        </w:rPr>
        <w:t>-</w:t>
      </w:r>
      <w:r>
        <w:rPr>
          <w:rFonts w:hint="eastAsia" w:ascii="Arial" w:hAnsi="Arial" w:eastAsia="宋体" w:cs="Arial"/>
          <w:color w:val="000000"/>
          <w:kern w:val="0"/>
          <w:sz w:val="24"/>
          <w:szCs w:val="24"/>
        </w:rPr>
        <w:t>8</w:t>
      </w:r>
      <w:r>
        <w:rPr>
          <w:rFonts w:ascii="Arial" w:hAnsi="Arial" w:eastAsia="宋体" w:cs="Arial"/>
          <w:color w:val="000000"/>
          <w:kern w:val="0"/>
          <w:sz w:val="24"/>
          <w:szCs w:val="24"/>
        </w:rPr>
        <w:t>000</w:t>
      </w: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元</w:t>
      </w:r>
      <w:r>
        <w:rPr>
          <w:rFonts w:ascii="Arial" w:hAnsi="Arial" w:eastAsia="宋体" w:cs="Arial"/>
          <w:color w:val="000000"/>
          <w:kern w:val="0"/>
          <w:sz w:val="24"/>
          <w:szCs w:val="24"/>
        </w:rPr>
        <w:t>/</w:t>
      </w: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月（视岗位及时间）</w:t>
      </w:r>
      <w:r>
        <w:rPr>
          <w:rFonts w:ascii="宋体" w:hAnsi="宋体" w:eastAsia="宋体" w:cs="Arial"/>
          <w:color w:val="000000"/>
          <w:kern w:val="0"/>
          <w:sz w:val="24"/>
          <w:szCs w:val="24"/>
        </w:rPr>
        <w:t> </w:t>
      </w: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。</w:t>
      </w:r>
    </w:p>
    <w:p>
      <w:pPr>
        <w:widowControl/>
        <w:spacing w:before="75" w:after="75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第二年：根据晋升考核后定薪。</w:t>
      </w:r>
    </w:p>
    <w:p>
      <w:pPr>
        <w:widowControl/>
        <w:spacing w:before="75" w:after="75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2</w:t>
      </w: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、政府补贴（按政府实时政策）：按当地政府人才补贴政策。</w:t>
      </w:r>
    </w:p>
    <w:p>
      <w:pPr>
        <w:widowControl/>
        <w:spacing w:before="75" w:after="75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3</w:t>
      </w: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、福利：五险一金、生日福利、节日福利、免费班车等。</w:t>
      </w:r>
    </w:p>
    <w:p>
      <w:pPr>
        <w:widowControl/>
        <w:spacing w:before="75" w:after="75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4</w:t>
      </w: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、食宿：员工餐厅（餐费补贴按公司制度）；员工公寓（2-4人/间、独立淋浴卫生间、空调、WiFi、床、衣柜、桌椅、厨房等）、其他娱乐公共设施等。</w:t>
      </w:r>
    </w:p>
    <w:p>
      <w:pPr>
        <w:widowControl/>
        <w:spacing w:before="75" w:after="75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5</w:t>
      </w: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、培训：集团及各公司提供的各项培训资源。</w:t>
      </w:r>
    </w:p>
    <w:p>
      <w:pPr>
        <w:widowControl/>
        <w:spacing w:before="75" w:after="75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6</w:t>
      </w: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、晋升：每年</w:t>
      </w:r>
      <w:r>
        <w:rPr>
          <w:rFonts w:ascii="Arial" w:hAnsi="Arial" w:eastAsia="宋体" w:cs="Arial"/>
          <w:color w:val="000000"/>
          <w:kern w:val="0"/>
          <w:sz w:val="24"/>
          <w:szCs w:val="24"/>
        </w:rPr>
        <w:t>1</w:t>
      </w: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次晋升机会，绩效优秀者优先加薪</w:t>
      </w:r>
      <w:r>
        <w:rPr>
          <w:rFonts w:ascii="Arial" w:hAnsi="Arial" w:eastAsia="宋体" w:cs="Arial"/>
          <w:color w:val="000000"/>
          <w:kern w:val="0"/>
          <w:sz w:val="24"/>
          <w:szCs w:val="24"/>
        </w:rPr>
        <w:t>/</w:t>
      </w: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晋升。</w:t>
      </w:r>
    </w:p>
    <w:p>
      <w:pPr>
        <w:widowControl/>
        <w:spacing w:before="75" w:after="75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7</w:t>
      </w: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、工作地点：</w:t>
      </w:r>
    </w:p>
    <w:p>
      <w:pPr>
        <w:widowControl/>
        <w:spacing w:before="75" w:after="75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国内：杭州、嘉兴、海宁、绍兴、太仓、宿迁、泉州、钦州；</w:t>
      </w:r>
    </w:p>
    <w:p>
      <w:pPr>
        <w:widowControl/>
        <w:spacing w:before="75" w:after="75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浙江恒逸高新材料有限公司</w:t>
      </w:r>
    </w:p>
    <w:p>
      <w:pPr>
        <w:widowControl/>
        <w:spacing w:before="75" w:after="75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浙江双兔新材料有限公司</w:t>
      </w:r>
    </w:p>
    <w:p>
      <w:pPr>
        <w:widowControl/>
        <w:spacing w:before="75" w:after="75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浙江恒逸锦纶有限公司</w:t>
      </w:r>
    </w:p>
    <w:p>
      <w:pPr>
        <w:widowControl/>
        <w:spacing w:before="75" w:after="75"/>
        <w:jc w:val="left"/>
        <w:rPr>
          <w:rFonts w:hint="eastAsia" w:ascii="宋体" w:hAnsi="宋体" w:eastAsia="宋体" w:cs="Arial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浙江逸宸化纤有限公司</w:t>
      </w:r>
    </w:p>
    <w:p>
      <w:pPr>
        <w:widowControl/>
        <w:spacing w:before="75" w:after="75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海宁恒逸新材料有限公司</w:t>
      </w:r>
    </w:p>
    <w:p>
      <w:pPr>
        <w:widowControl/>
        <w:spacing w:before="75" w:after="75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嘉兴逸鹏化纤有限公司</w:t>
      </w:r>
    </w:p>
    <w:p>
      <w:pPr>
        <w:widowControl/>
        <w:spacing w:before="75" w:after="75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宿迁逸达新材料有限公司</w:t>
      </w:r>
    </w:p>
    <w:p>
      <w:pPr>
        <w:widowControl/>
        <w:spacing w:before="75" w:after="75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福建逸锦化纤有限公司</w:t>
      </w:r>
    </w:p>
    <w:p>
      <w:pPr>
        <w:widowControl/>
        <w:spacing w:before="75" w:after="75"/>
        <w:jc w:val="left"/>
        <w:rPr>
          <w:rFonts w:hint="eastAsia" w:ascii="宋体" w:hAnsi="宋体" w:eastAsia="宋体" w:cs="Arial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····</w:t>
      </w:r>
    </w:p>
    <w:p>
      <w:pPr>
        <w:widowControl/>
        <w:spacing w:before="75" w:after="75"/>
        <w:jc w:val="left"/>
        <w:rPr>
          <w:rFonts w:ascii="Arial" w:hAnsi="Arial" w:eastAsia="宋体" w:cs="Arial"/>
          <w:b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b/>
          <w:color w:val="000000"/>
          <w:kern w:val="0"/>
          <w:sz w:val="24"/>
          <w:szCs w:val="24"/>
        </w:rPr>
        <w:t>四、联系方式</w:t>
      </w:r>
    </w:p>
    <w:p>
      <w:pPr>
        <w:widowControl/>
        <w:spacing w:before="75" w:after="75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1</w:t>
      </w: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、招聘流程：简历投递→综合面试→</w:t>
      </w:r>
      <w:r>
        <w:rPr>
          <w:rFonts w:hint="eastAsia" w:ascii="Arial" w:hAnsi="Arial" w:eastAsia="宋体" w:cs="Arial"/>
          <w:color w:val="000000"/>
          <w:kern w:val="0"/>
          <w:sz w:val="24"/>
          <w:szCs w:val="24"/>
        </w:rPr>
        <w:t>录用</w:t>
      </w:r>
      <w:r>
        <w:rPr>
          <w:rFonts w:ascii="Arial" w:hAnsi="Arial" w:eastAsia="宋体" w:cs="Arial"/>
          <w:color w:val="000000"/>
          <w:kern w:val="0"/>
          <w:sz w:val="24"/>
          <w:szCs w:val="24"/>
        </w:rPr>
        <w:t>签约</w:t>
      </w: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→入职报到</w:t>
      </w:r>
    </w:p>
    <w:p>
      <w:pPr>
        <w:widowControl/>
        <w:spacing w:before="75" w:after="75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2</w:t>
      </w: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、简历投递邮箱：</w:t>
      </w:r>
      <w:r>
        <w:fldChar w:fldCharType="begin"/>
      </w:r>
      <w:r>
        <w:instrText xml:space="preserve"> HYPERLINK "mailto:12000781@hengyi.com" </w:instrText>
      </w:r>
      <w:r>
        <w:fldChar w:fldCharType="separate"/>
      </w:r>
      <w:r>
        <w:rPr>
          <w:rFonts w:ascii="Arial" w:hAnsi="Arial" w:eastAsia="宋体" w:cs="Arial"/>
          <w:color w:val="0000FF"/>
          <w:kern w:val="0"/>
          <w:sz w:val="24"/>
          <w:szCs w:val="24"/>
          <w:u w:val="single"/>
        </w:rPr>
        <w:t>12000781@hengyi.com</w:t>
      </w:r>
      <w:r>
        <w:rPr>
          <w:rFonts w:ascii="Arial" w:hAnsi="Arial" w:eastAsia="宋体" w:cs="Arial"/>
          <w:color w:val="0000FF"/>
          <w:kern w:val="0"/>
          <w:sz w:val="24"/>
          <w:szCs w:val="24"/>
          <w:u w:val="single"/>
        </w:rPr>
        <w:fldChar w:fldCharType="end"/>
      </w:r>
    </w:p>
    <w:p>
      <w:pPr>
        <w:widowControl/>
        <w:spacing w:before="75" w:after="75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3</w:t>
      </w: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、投递格式：简历名称“姓名</w:t>
      </w:r>
      <w:r>
        <w:rPr>
          <w:rFonts w:ascii="Arial" w:hAnsi="Arial" w:eastAsia="宋体" w:cs="Arial"/>
          <w:color w:val="000000"/>
          <w:kern w:val="0"/>
          <w:sz w:val="24"/>
          <w:szCs w:val="24"/>
        </w:rPr>
        <w:t>+</w:t>
      </w: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专业</w:t>
      </w:r>
      <w:r>
        <w:rPr>
          <w:rFonts w:ascii="Arial" w:hAnsi="Arial" w:eastAsia="宋体" w:cs="Arial"/>
          <w:color w:val="000000"/>
          <w:kern w:val="0"/>
          <w:sz w:val="24"/>
          <w:szCs w:val="24"/>
        </w:rPr>
        <w:t>+</w:t>
      </w: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学校</w:t>
      </w:r>
      <w:r>
        <w:rPr>
          <w:rFonts w:ascii="Arial" w:hAnsi="Arial" w:eastAsia="宋体" w:cs="Arial"/>
          <w:color w:val="000000"/>
          <w:kern w:val="0"/>
          <w:sz w:val="24"/>
          <w:szCs w:val="24"/>
        </w:rPr>
        <w:t>+</w:t>
      </w: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应聘职位”</w:t>
      </w:r>
    </w:p>
    <w:p>
      <w:pPr>
        <w:widowControl/>
        <w:spacing w:before="75" w:after="75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bookmarkStart w:id="0" w:name="_GoBack"/>
      <w:bookmarkEnd w:id="0"/>
      <w:r>
        <w:rPr>
          <w:rFonts w:ascii="Arial" w:hAnsi="Arial" w:eastAsia="宋体" w:cs="Arial"/>
          <w:color w:val="000000"/>
          <w:kern w:val="0"/>
          <w:sz w:val="24"/>
          <w:szCs w:val="24"/>
        </w:rPr>
        <w:t>5</w:t>
      </w: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、公司网址：</w:t>
      </w:r>
      <w:r>
        <w:fldChar w:fldCharType="begin"/>
      </w:r>
      <w:r>
        <w:instrText xml:space="preserve"> HYPERLINK "http://www.hengyi.com/" </w:instrText>
      </w:r>
      <w:r>
        <w:fldChar w:fldCharType="separate"/>
      </w:r>
      <w:r>
        <w:rPr>
          <w:rFonts w:ascii="Arial" w:hAnsi="Arial" w:eastAsia="宋体" w:cs="Arial"/>
          <w:color w:val="0000FF"/>
          <w:kern w:val="0"/>
          <w:sz w:val="24"/>
          <w:szCs w:val="24"/>
          <w:u w:val="single"/>
        </w:rPr>
        <w:t>www.hengyi.com</w:t>
      </w:r>
      <w:r>
        <w:rPr>
          <w:rFonts w:ascii="Arial" w:hAnsi="Arial" w:eastAsia="宋体" w:cs="Arial"/>
          <w:color w:val="0000FF"/>
          <w:kern w:val="0"/>
          <w:sz w:val="24"/>
          <w:szCs w:val="24"/>
          <w:u w:val="single"/>
        </w:rPr>
        <w:fldChar w:fldCharType="end"/>
      </w: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更多信息请扫描下方二维码</w:t>
      </w:r>
    </w:p>
    <w:p>
      <w:pPr>
        <w:widowControl/>
        <w:spacing w:before="75" w:after="75"/>
        <w:jc w:val="left"/>
        <w:rPr>
          <w:rFonts w:ascii="Arial" w:hAnsi="Arial" w:eastAsia="宋体" w:cs="Arial"/>
          <w:color w:val="000000"/>
          <w:kern w:val="0"/>
          <w:sz w:val="24"/>
          <w:szCs w:val="24"/>
        </w:rPr>
      </w:pPr>
      <w:r>
        <w:rPr>
          <w:rFonts w:ascii="Arial" w:hAnsi="Arial" w:eastAsia="宋体" w:cs="Arial"/>
          <w:color w:val="000000"/>
          <w:kern w:val="0"/>
          <w:sz w:val="24"/>
          <w:szCs w:val="24"/>
        </w:rPr>
        <w:t>6</w:t>
      </w: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、集团总部：浙江省杭州市萧山区市心北路</w:t>
      </w:r>
      <w:r>
        <w:rPr>
          <w:rFonts w:ascii="Arial" w:hAnsi="Arial" w:eastAsia="宋体" w:cs="Arial"/>
          <w:color w:val="000000"/>
          <w:kern w:val="0"/>
          <w:sz w:val="24"/>
          <w:szCs w:val="24"/>
        </w:rPr>
        <w:t>260</w:t>
      </w: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号</w:t>
      </w:r>
    </w:p>
    <w:p>
      <w:pPr>
        <w:jc w:val="center"/>
      </w:pPr>
      <w:r>
        <w:drawing>
          <wp:inline distT="0" distB="0" distL="0" distR="0">
            <wp:extent cx="1424940" cy="1396365"/>
            <wp:effectExtent l="0" t="0" r="381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9657" cy="140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QzZjk3Y2NhNjU0Nzc4MjkzMjQ0MzgzZTNhM2E4ZjEifQ=="/>
  </w:docVars>
  <w:rsids>
    <w:rsidRoot w:val="00A4328A"/>
    <w:rsid w:val="000F7BE1"/>
    <w:rsid w:val="001674D2"/>
    <w:rsid w:val="00184C32"/>
    <w:rsid w:val="001A05FB"/>
    <w:rsid w:val="001A196A"/>
    <w:rsid w:val="00214D7A"/>
    <w:rsid w:val="00286458"/>
    <w:rsid w:val="00296103"/>
    <w:rsid w:val="002C4237"/>
    <w:rsid w:val="003D6466"/>
    <w:rsid w:val="004A7AF8"/>
    <w:rsid w:val="00587F67"/>
    <w:rsid w:val="005D6424"/>
    <w:rsid w:val="005D783B"/>
    <w:rsid w:val="005E7510"/>
    <w:rsid w:val="00692F33"/>
    <w:rsid w:val="0075549B"/>
    <w:rsid w:val="00760B4F"/>
    <w:rsid w:val="007A1E61"/>
    <w:rsid w:val="0084190C"/>
    <w:rsid w:val="008B31FF"/>
    <w:rsid w:val="00904080"/>
    <w:rsid w:val="009B182A"/>
    <w:rsid w:val="009C2AAF"/>
    <w:rsid w:val="009F70C4"/>
    <w:rsid w:val="00A1175D"/>
    <w:rsid w:val="00A4328A"/>
    <w:rsid w:val="00A66822"/>
    <w:rsid w:val="00AC753B"/>
    <w:rsid w:val="00AD06E4"/>
    <w:rsid w:val="00AE63F4"/>
    <w:rsid w:val="00B216AE"/>
    <w:rsid w:val="00B33EA8"/>
    <w:rsid w:val="00B4538A"/>
    <w:rsid w:val="00B778A0"/>
    <w:rsid w:val="00B77FC9"/>
    <w:rsid w:val="00B82ADD"/>
    <w:rsid w:val="00B909BE"/>
    <w:rsid w:val="00BD3334"/>
    <w:rsid w:val="00C03E0C"/>
    <w:rsid w:val="00C531F8"/>
    <w:rsid w:val="00C630E6"/>
    <w:rsid w:val="00CB54C7"/>
    <w:rsid w:val="00D53438"/>
    <w:rsid w:val="00D73E2D"/>
    <w:rsid w:val="00D91E76"/>
    <w:rsid w:val="00E8388A"/>
    <w:rsid w:val="00E9132B"/>
    <w:rsid w:val="00EB7EA4"/>
    <w:rsid w:val="00F379EF"/>
    <w:rsid w:val="00FB3DAB"/>
    <w:rsid w:val="00FD5893"/>
    <w:rsid w:val="00FF7175"/>
    <w:rsid w:val="4448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basedOn w:val="6"/>
    <w:link w:val="2"/>
    <w:autoRedefine/>
    <w:semiHidden/>
    <w:qFormat/>
    <w:uiPriority w:val="99"/>
    <w:rPr>
      <w:sz w:val="18"/>
      <w:szCs w:val="18"/>
    </w:rPr>
  </w:style>
  <w:style w:type="character" w:customStyle="1" w:styleId="8">
    <w:name w:val="页眉 字符"/>
    <w:basedOn w:val="6"/>
    <w:link w:val="4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Hengyi</Company>
  <Pages>2</Pages>
  <Words>232</Words>
  <Characters>1324</Characters>
  <Lines>11</Lines>
  <Paragraphs>3</Paragraphs>
  <TotalTime>26</TotalTime>
  <ScaleCrop>false</ScaleCrop>
  <LinksUpToDate>false</LinksUpToDate>
  <CharactersWithSpaces>1553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2023-12-13T08:33:00Z</dcterms:created>
  <dc:creator>Hengyi</dc:creator>
  <cp:lastModifiedBy>等风来</cp:lastModifiedBy>
  <dcterms:modified xsi:type="dcterms:W3CDTF">2023-12-19T11:26:06Z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CACCAEF3DF144E6C9D6A15447D8C8020_12</vt:lpwstr>
  </property>
</Properties>
</file>