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80" w:lineRule="exact"/>
        <w:jc w:val="center"/>
        <w:rPr>
          <w:rFonts w:ascii="方正小标宋_GBK" w:hAnsi="宋体" w:eastAsia="方正小标宋_GBK" w:cs="微软雅黑"/>
          <w:b/>
          <w:bCs/>
          <w:sz w:val="44"/>
          <w:szCs w:val="44"/>
        </w:rPr>
      </w:pPr>
      <w:r>
        <w:rPr>
          <w:rFonts w:hint="eastAsia" w:ascii="方正小标宋_GBK" w:hAnsi="宋体" w:eastAsia="方正小标宋_GBK" w:cs="微软雅黑"/>
          <w:b/>
          <w:bCs/>
          <w:sz w:val="44"/>
          <w:szCs w:val="44"/>
        </w:rPr>
        <w:t>许继（厦门）智能电力设备股份有限公司</w:t>
      </w:r>
    </w:p>
    <w:p>
      <w:pPr>
        <w:adjustRightInd w:val="0"/>
        <w:snapToGrid w:val="0"/>
        <w:spacing w:line="580" w:lineRule="exact"/>
        <w:jc w:val="center"/>
        <w:rPr>
          <w:rFonts w:ascii="方正小标宋_GBK" w:hAnsi="宋体" w:eastAsia="方正小标宋_GBK" w:cs="微软雅黑"/>
          <w:sz w:val="44"/>
          <w:szCs w:val="44"/>
        </w:rPr>
      </w:pPr>
      <w:r>
        <w:rPr>
          <w:rFonts w:hint="eastAsia" w:ascii="方正小标宋_GBK" w:hAnsi="宋体" w:eastAsia="方正小标宋_GBK" w:cs="微软雅黑"/>
          <w:b/>
          <w:bCs/>
          <w:sz w:val="44"/>
          <w:szCs w:val="44"/>
        </w:rPr>
        <w:t>2023年校园招聘公告</w:t>
      </w:r>
      <w:r>
        <w:rPr>
          <w:rFonts w:hint="eastAsia" w:ascii="方正小标宋_GBK" w:hAnsi="宋体" w:eastAsia="方正小标宋_GBK" w:cs="微软雅黑"/>
          <w:b/>
          <w:bCs/>
          <w:sz w:val="44"/>
          <w:szCs w:val="44"/>
        </w:rPr>
        <w:cr/>
      </w:r>
    </w:p>
    <w:p>
      <w:pPr>
        <w:adjustRightInd w:val="0"/>
        <w:snapToGrid w:val="0"/>
        <w:spacing w:line="580" w:lineRule="exact"/>
        <w:ind w:firstLine="640" w:firstLineChars="200"/>
        <w:rPr>
          <w:rFonts w:ascii="黑体" w:hAnsi="黑体" w:eastAsia="黑体" w:cs="微软雅黑"/>
          <w:sz w:val="32"/>
          <w:szCs w:val="32"/>
        </w:rPr>
      </w:pPr>
      <w:r>
        <w:rPr>
          <w:rFonts w:hint="eastAsia" w:ascii="黑体" w:hAnsi="黑体" w:eastAsia="黑体" w:cs="微软雅黑"/>
          <w:sz w:val="32"/>
          <w:szCs w:val="32"/>
        </w:rPr>
        <w:t>一、关于厦门</w:t>
      </w:r>
      <w:r>
        <w:rPr>
          <w:rFonts w:ascii="黑体" w:hAnsi="黑体" w:eastAsia="黑体" w:cs="微软雅黑"/>
          <w:sz w:val="32"/>
          <w:szCs w:val="32"/>
        </w:rPr>
        <w:t>许继</w:t>
      </w:r>
    </w:p>
    <w:p>
      <w:pPr>
        <w:spacing w:line="360" w:lineRule="auto"/>
        <w:ind w:firstLine="640" w:firstLineChars="200"/>
        <w:rPr>
          <w:rFonts w:ascii="仿宋_GB2312" w:eastAsia="仿宋_GB2312"/>
          <w:sz w:val="32"/>
          <w:szCs w:val="32"/>
        </w:rPr>
      </w:pPr>
      <w:r>
        <w:rPr>
          <w:rFonts w:hint="eastAsia" w:ascii="仿宋_GB2312" w:eastAsia="仿宋_GB2312"/>
          <w:sz w:val="32"/>
          <w:szCs w:val="32"/>
        </w:rPr>
        <w:t>许继(厦门)智能电力设备股份有限公司（以下简称“厦门许继”）是由中国电气装备集团有限公司（国务院国资委监管的国有重要骨干企业）下属的许继集团有限公司与香港聚龙电力控股有限公司共同投资成立的高新技术企业。</w:t>
      </w:r>
    </w:p>
    <w:p>
      <w:pPr>
        <w:spacing w:line="360" w:lineRule="auto"/>
        <w:ind w:firstLine="640" w:firstLineChars="200"/>
        <w:rPr>
          <w:rFonts w:ascii="仿宋_GB2312" w:eastAsia="仿宋_GB2312"/>
          <w:sz w:val="32"/>
          <w:szCs w:val="32"/>
        </w:rPr>
      </w:pPr>
      <w:r>
        <w:rPr>
          <w:rFonts w:hint="eastAsia" w:ascii="仿宋_GB2312" w:eastAsia="仿宋_GB2312"/>
          <w:sz w:val="32"/>
          <w:szCs w:val="32"/>
        </w:rPr>
        <w:t>厦门许继于2009年3月4日注册成立，位于厦门翔安火炬高新技术产业开发区，占地面积75,000平方米，计划投资3亿元人民币，一期建筑面积20,000平方米。</w:t>
      </w:r>
    </w:p>
    <w:p>
      <w:pPr>
        <w:spacing w:line="360" w:lineRule="auto"/>
        <w:ind w:firstLine="640" w:firstLineChars="200"/>
        <w:rPr>
          <w:rFonts w:ascii="仿宋_GB2312" w:eastAsia="仿宋_GB2312"/>
          <w:sz w:val="32"/>
          <w:szCs w:val="32"/>
        </w:rPr>
      </w:pPr>
      <w:r>
        <w:rPr>
          <w:rFonts w:hint="eastAsia" w:ascii="仿宋_GB2312" w:eastAsia="仿宋_GB2312"/>
          <w:sz w:val="32"/>
          <w:szCs w:val="32"/>
        </w:rPr>
        <w:t>厦门许继致力于为多领域用户提供系列齐全、技术先进、品质优异的智能化中高压开关设备以及全方位的系统集成解决方案。目前产品已覆盖1</w:t>
      </w:r>
      <w:r>
        <w:rPr>
          <w:rFonts w:ascii="仿宋_GB2312" w:eastAsia="仿宋_GB2312"/>
          <w:sz w:val="32"/>
          <w:szCs w:val="32"/>
        </w:rPr>
        <w:t>0</w:t>
      </w:r>
      <w:r>
        <w:rPr>
          <w:rFonts w:hint="eastAsia" w:ascii="仿宋_GB2312" w:eastAsia="仿宋_GB2312"/>
          <w:sz w:val="32"/>
          <w:szCs w:val="32"/>
        </w:rPr>
        <w:t>kV-2</w:t>
      </w:r>
      <w:r>
        <w:rPr>
          <w:rFonts w:ascii="仿宋_GB2312" w:eastAsia="仿宋_GB2312"/>
          <w:sz w:val="32"/>
          <w:szCs w:val="32"/>
        </w:rPr>
        <w:t>20</w:t>
      </w:r>
      <w:r>
        <w:rPr>
          <w:rFonts w:hint="eastAsia" w:ascii="仿宋_GB2312" w:eastAsia="仿宋_GB2312"/>
          <w:sz w:val="32"/>
          <w:szCs w:val="32"/>
        </w:rPr>
        <w:t>kV的高端输配电市场，广泛应用于电网、发电、石油化工、重工业、航空航天、铁路等领域，产品已在国内的30个省区，超过900个变电站稳定、可靠的运行。在国家“一带一路”以及“走出去”的支持和引领下，厦门许继产品已出口包括新西兰、澳大利亚、玻利维亚、越南、黑山等十几个国家。</w:t>
      </w:r>
    </w:p>
    <w:p>
      <w:pPr>
        <w:spacing w:line="360" w:lineRule="auto"/>
        <w:ind w:firstLine="640" w:firstLineChars="200"/>
        <w:rPr>
          <w:rFonts w:ascii="仿宋_GB2312" w:eastAsia="仿宋_GB2312"/>
          <w:sz w:val="32"/>
          <w:szCs w:val="32"/>
        </w:rPr>
      </w:pPr>
      <w:r>
        <w:rPr>
          <w:rFonts w:hint="eastAsia" w:ascii="仿宋_GB2312" w:eastAsia="仿宋_GB2312"/>
          <w:sz w:val="32"/>
          <w:szCs w:val="32"/>
        </w:rPr>
        <w:t>厦门许继坚持创新驱动，专注于产品研发，并针对不同领域用户的实际需求进行产品优化和智能化升级，目前已拥有发明专利</w:t>
      </w:r>
      <w:r>
        <w:rPr>
          <w:rFonts w:ascii="仿宋_GB2312" w:eastAsia="仿宋_GB2312"/>
          <w:sz w:val="32"/>
          <w:szCs w:val="32"/>
        </w:rPr>
        <w:t>13</w:t>
      </w:r>
      <w:r>
        <w:rPr>
          <w:rFonts w:hint="eastAsia" w:ascii="仿宋_GB2312" w:eastAsia="仿宋_GB2312"/>
          <w:sz w:val="32"/>
          <w:szCs w:val="32"/>
        </w:rPr>
        <w:t>项、实用新型专利</w:t>
      </w:r>
      <w:r>
        <w:rPr>
          <w:rFonts w:ascii="仿宋_GB2312" w:eastAsia="仿宋_GB2312"/>
          <w:sz w:val="32"/>
          <w:szCs w:val="32"/>
        </w:rPr>
        <w:t>105</w:t>
      </w:r>
      <w:r>
        <w:rPr>
          <w:rFonts w:hint="eastAsia" w:ascii="仿宋_GB2312" w:eastAsia="仿宋_GB2312"/>
          <w:sz w:val="32"/>
          <w:szCs w:val="32"/>
        </w:rPr>
        <w:t>项及外观专利</w:t>
      </w:r>
      <w:r>
        <w:rPr>
          <w:rFonts w:ascii="仿宋_GB2312" w:eastAsia="仿宋_GB2312"/>
          <w:sz w:val="32"/>
          <w:szCs w:val="32"/>
        </w:rPr>
        <w:t>11</w:t>
      </w:r>
      <w:r>
        <w:rPr>
          <w:rFonts w:hint="eastAsia" w:ascii="仿宋_GB2312" w:eastAsia="仿宋_GB2312"/>
          <w:sz w:val="32"/>
          <w:szCs w:val="32"/>
        </w:rPr>
        <w:t>项。依托许继集团国家级企业技术中心、国家能源主动配电网技术研发中心和国家工业设计中心等技术创新平台开展技术创新及研发活动，多项研究成果已成功进行市场化应用。</w:t>
      </w:r>
    </w:p>
    <w:p>
      <w:pPr>
        <w:tabs>
          <w:tab w:val="center" w:pos="4686"/>
        </w:tabs>
        <w:spacing w:line="580" w:lineRule="exact"/>
        <w:ind w:firstLine="640" w:firstLineChars="200"/>
        <w:rPr>
          <w:rFonts w:ascii="黑体" w:hAnsi="黑体" w:eastAsia="黑体" w:cs="微软雅黑"/>
          <w:sz w:val="32"/>
          <w:szCs w:val="32"/>
        </w:rPr>
      </w:pPr>
      <w:r>
        <w:rPr>
          <w:rFonts w:hint="eastAsia" w:ascii="黑体" w:hAnsi="黑体" w:eastAsia="黑体" w:cs="微软雅黑"/>
          <w:sz w:val="32"/>
          <w:szCs w:val="32"/>
        </w:rPr>
        <w:t>二、薪酬福利</w:t>
      </w:r>
      <w:r>
        <w:rPr>
          <w:rFonts w:ascii="黑体" w:hAnsi="黑体" w:eastAsia="黑体" w:cs="微软雅黑"/>
          <w:sz w:val="32"/>
          <w:szCs w:val="32"/>
        </w:rPr>
        <w:tab/>
      </w:r>
    </w:p>
    <w:p>
      <w:pPr>
        <w:spacing w:line="580" w:lineRule="exact"/>
        <w:ind w:firstLine="643" w:firstLineChars="200"/>
        <w:rPr>
          <w:rFonts w:ascii="方正仿宋_GBK" w:hAnsi="方正仿宋_GBK" w:eastAsia="方正仿宋_GBK" w:cs="方正仿宋_GBK"/>
          <w:sz w:val="32"/>
          <w:szCs w:val="32"/>
        </w:rPr>
      </w:pPr>
      <w:r>
        <w:rPr>
          <w:rFonts w:ascii="方正仿宋_GBK" w:hAnsi="方正仿宋_GBK" w:eastAsia="方正仿宋_GBK" w:cs="方正仿宋_GBK"/>
          <w:b/>
          <w:sz w:val="32"/>
          <w:szCs w:val="32"/>
        </w:rPr>
        <w:t>1.极具竞争力的薪资待遇：</w:t>
      </w:r>
      <w:r>
        <w:rPr>
          <w:rFonts w:hint="eastAsia" w:ascii="方正仿宋_GBK" w:hAnsi="方正仿宋_GBK" w:eastAsia="方正仿宋_GBK" w:cs="方正仿宋_GBK"/>
          <w:sz w:val="32"/>
          <w:szCs w:val="32"/>
        </w:rPr>
        <w:t>岗位工资+绩效工资+专项奖励（突出贡献奖、突出创新奖、突出市场开拓奖等）+人才补贴。</w:t>
      </w:r>
    </w:p>
    <w:p>
      <w:pPr>
        <w:spacing w:line="58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股权类、分红权类中长期激励。</w:t>
      </w:r>
    </w:p>
    <w:p>
      <w:pPr>
        <w:spacing w:line="580" w:lineRule="exact"/>
        <w:ind w:firstLine="643" w:firstLineChars="200"/>
        <w:rPr>
          <w:rFonts w:ascii="方正仿宋_GBK" w:hAnsi="方正仿宋_GBK" w:eastAsia="方正仿宋_GBK" w:cs="方正仿宋_GBK"/>
          <w:sz w:val="32"/>
          <w:szCs w:val="32"/>
        </w:rPr>
      </w:pPr>
      <w:r>
        <w:rPr>
          <w:rFonts w:ascii="方正仿宋_GBK" w:hAnsi="方正仿宋_GBK" w:eastAsia="方正仿宋_GBK" w:cs="方正仿宋_GBK"/>
          <w:b/>
          <w:sz w:val="32"/>
          <w:szCs w:val="32"/>
        </w:rPr>
        <w:t>2.丰厚完备的央企福利保障：</w:t>
      </w:r>
      <w:r>
        <w:rPr>
          <w:rFonts w:hint="eastAsia" w:ascii="方正仿宋_GBK" w:hAnsi="方正仿宋_GBK" w:eastAsia="方正仿宋_GBK" w:cs="方正仿宋_GBK"/>
          <w:sz w:val="32"/>
          <w:szCs w:val="32"/>
        </w:rPr>
        <w:t>五险一金、企业年金、补充医疗保险、雇主责任险、食堂福利、生日福利、节日福利、全员健康体检、职工疗养、法定节假日、带薪年休假、大病互助基金、困难补助等。</w:t>
      </w:r>
    </w:p>
    <w:p>
      <w:pPr>
        <w:spacing w:line="580" w:lineRule="exact"/>
        <w:ind w:firstLine="643" w:firstLineChars="200"/>
        <w:rPr>
          <w:rFonts w:hint="eastAsia" w:ascii="方正仿宋_GBK" w:hAnsi="方正仿宋_GBK" w:eastAsia="方正仿宋_GBK" w:cs="方正仿宋_GBK"/>
          <w:sz w:val="32"/>
          <w:szCs w:val="32"/>
        </w:rPr>
      </w:pPr>
      <w:r>
        <w:rPr>
          <w:rFonts w:ascii="方正仿宋_GBK" w:hAnsi="方正仿宋_GBK" w:eastAsia="方正仿宋_GBK" w:cs="方正仿宋_GBK"/>
          <w:b/>
          <w:sz w:val="32"/>
          <w:szCs w:val="32"/>
        </w:rPr>
        <w:t>3.</w:t>
      </w:r>
      <w:r>
        <w:rPr>
          <w:rFonts w:hint="eastAsia" w:ascii="方正仿宋_GBK" w:hAnsi="方正仿宋_GBK" w:eastAsia="方正仿宋_GBK" w:cs="方正仿宋_GBK"/>
          <w:b/>
          <w:sz w:val="32"/>
          <w:szCs w:val="32"/>
        </w:rPr>
        <w:t>丰富的</w:t>
      </w:r>
      <w:r>
        <w:rPr>
          <w:rFonts w:ascii="方正仿宋_GBK" w:hAnsi="方正仿宋_GBK" w:eastAsia="方正仿宋_GBK" w:cs="方正仿宋_GBK"/>
          <w:b/>
          <w:sz w:val="32"/>
          <w:szCs w:val="32"/>
        </w:rPr>
        <w:t>业余生活：</w:t>
      </w:r>
      <w:r>
        <w:rPr>
          <w:rFonts w:hint="eastAsia" w:ascii="方正仿宋_GBK" w:hAnsi="方正仿宋_GBK" w:eastAsia="方正仿宋_GBK" w:cs="方正仿宋_GBK"/>
          <w:sz w:val="32"/>
          <w:szCs w:val="32"/>
        </w:rPr>
        <w:t>组建各类业余文化团体，定期组织青年联谊会、丰富多彩的体育比赛和职工文化活动。</w:t>
      </w:r>
    </w:p>
    <w:p>
      <w:pPr>
        <w:spacing w:line="580" w:lineRule="exact"/>
        <w:ind w:firstLine="640" w:firstLineChars="200"/>
        <w:rPr>
          <w:rFonts w:hint="eastAsia" w:ascii="黑体" w:hAnsi="黑体" w:eastAsia="黑体" w:cs="微软雅黑"/>
          <w:sz w:val="32"/>
          <w:szCs w:val="32"/>
          <w:lang w:val="en-US" w:eastAsia="zh-CN"/>
        </w:rPr>
      </w:pPr>
      <w:r>
        <w:rPr>
          <w:rFonts w:hint="eastAsia" w:ascii="黑体" w:hAnsi="黑体" w:eastAsia="黑体" w:cs="微软雅黑"/>
          <w:sz w:val="32"/>
          <w:szCs w:val="32"/>
        </w:rPr>
        <w:t>三、</w:t>
      </w:r>
      <w:r>
        <w:rPr>
          <w:rFonts w:hint="eastAsia" w:ascii="黑体" w:hAnsi="黑体" w:eastAsia="黑体" w:cs="微软雅黑"/>
          <w:sz w:val="32"/>
          <w:szCs w:val="32"/>
          <w:lang w:val="en-US" w:eastAsia="zh-CN"/>
        </w:rPr>
        <w:t>厦门市人才福利政策</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1.落户福利：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硕士(不超过35周岁)每人5万元;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“双一流”建设高校大学本科(不超过30周岁)每人3万元;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其他高校应届本科每人1万元。</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2.五折租房：</w:t>
      </w:r>
      <w:r>
        <w:rPr>
          <w:rFonts w:hint="eastAsia" w:ascii="方正仿宋_GBK" w:hAnsi="方正仿宋_GBK" w:eastAsia="方正仿宋_GBK" w:cs="方正仿宋_GBK"/>
          <w:sz w:val="32"/>
          <w:szCs w:val="32"/>
          <w:lang w:val="en-US" w:eastAsia="zh-CN"/>
        </w:rPr>
        <w:t>按照每人每年5000元的标准发放租金补贴。</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3.购房福利：</w:t>
      </w:r>
      <w:r>
        <w:rPr>
          <w:rFonts w:hint="eastAsia" w:ascii="方正仿宋_GBK" w:hAnsi="方正仿宋_GBK" w:eastAsia="方正仿宋_GBK" w:cs="方正仿宋_GBK"/>
          <w:sz w:val="32"/>
          <w:szCs w:val="32"/>
          <w:lang w:val="en-US" w:eastAsia="zh-CN"/>
        </w:rPr>
        <w:t>可按现有规定以市场价45%的价格申购100-200平方米人才住房。</w:t>
      </w:r>
      <w:bookmarkStart w:id="0" w:name="_GoBack"/>
      <w:bookmarkEnd w:id="0"/>
    </w:p>
    <w:p>
      <w:pPr>
        <w:spacing w:line="580" w:lineRule="exact"/>
        <w:ind w:firstLine="640" w:firstLineChars="200"/>
        <w:rPr>
          <w:rFonts w:ascii="黑体" w:hAnsi="黑体" w:eastAsia="黑体" w:cs="微软雅黑"/>
          <w:sz w:val="32"/>
          <w:szCs w:val="32"/>
        </w:rPr>
      </w:pPr>
      <w:r>
        <w:rPr>
          <w:rFonts w:hint="eastAsia" w:ascii="黑体" w:hAnsi="黑体" w:eastAsia="黑体" w:cs="微软雅黑"/>
          <w:sz w:val="32"/>
          <w:szCs w:val="32"/>
          <w:lang w:val="en-US" w:eastAsia="zh-CN"/>
        </w:rPr>
        <w:t>四</w:t>
      </w:r>
      <w:r>
        <w:rPr>
          <w:rFonts w:hint="eastAsia" w:ascii="黑体" w:hAnsi="黑体" w:eastAsia="黑体" w:cs="微软雅黑"/>
          <w:sz w:val="32"/>
          <w:szCs w:val="32"/>
        </w:rPr>
        <w:t>、员工成长</w:t>
      </w:r>
    </w:p>
    <w:p>
      <w:pPr>
        <w:spacing w:line="580" w:lineRule="exact"/>
        <w:ind w:firstLine="643" w:firstLineChars="200"/>
        <w:rPr>
          <w:rFonts w:ascii="方正仿宋_GBK" w:hAnsi="方正仿宋_GBK" w:eastAsia="方正仿宋_GBK" w:cs="方正仿宋_GBK"/>
          <w:sz w:val="32"/>
          <w:szCs w:val="32"/>
        </w:rPr>
      </w:pPr>
      <w:r>
        <w:rPr>
          <w:rFonts w:ascii="方正仿宋_GBK" w:hAnsi="方正仿宋_GBK" w:eastAsia="方正仿宋_GBK" w:cs="方正仿宋_GBK"/>
          <w:b/>
          <w:sz w:val="32"/>
          <w:szCs w:val="32"/>
        </w:rPr>
        <w:t>1.多元发展的员工成长体系</w:t>
      </w:r>
      <w:r>
        <w:rPr>
          <w:rFonts w:hint="eastAsia" w:ascii="方正仿宋_GBK" w:hAnsi="方正仿宋_GBK" w:eastAsia="方正仿宋_GBK" w:cs="方正仿宋_GBK"/>
          <w:sz w:val="32"/>
          <w:szCs w:val="32"/>
        </w:rPr>
        <w:t>：领导职务序列、专家人才序列、职员职级序列三道并行的员工职业发展通道。</w:t>
      </w:r>
    </w:p>
    <w:p>
      <w:pPr>
        <w:spacing w:line="580" w:lineRule="exact"/>
        <w:ind w:firstLine="643"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
          <w:sz w:val="32"/>
          <w:szCs w:val="32"/>
        </w:rPr>
        <w:t>2.丰富多样的培训成长路径：</w:t>
      </w:r>
      <w:r>
        <w:rPr>
          <w:rFonts w:hint="eastAsia" w:ascii="方正仿宋_GBK" w:hAnsi="方正仿宋_GBK" w:eastAsia="方正仿宋_GBK" w:cs="方正仿宋_GBK"/>
          <w:bCs/>
          <w:sz w:val="32"/>
          <w:szCs w:val="32"/>
        </w:rPr>
        <w:t>新员工“一对一”导师制、专业能力提升培训、职业技能培训、学历继续教育培训、科技大讲堂、专项人才训练营等培训成长途径。</w:t>
      </w:r>
    </w:p>
    <w:p>
      <w:pPr>
        <w:spacing w:after="156" w:afterLines="50" w:line="580" w:lineRule="exact"/>
        <w:ind w:firstLine="640" w:firstLineChars="200"/>
        <w:rPr>
          <w:rFonts w:ascii="黑体" w:hAnsi="黑体" w:eastAsia="黑体" w:cs="微软雅黑"/>
          <w:sz w:val="32"/>
          <w:szCs w:val="32"/>
        </w:rPr>
      </w:pPr>
      <w:r>
        <w:rPr>
          <w:rFonts w:hint="eastAsia" w:ascii="黑体" w:hAnsi="黑体" w:eastAsia="黑体" w:cs="微软雅黑"/>
          <w:sz w:val="32"/>
          <w:szCs w:val="32"/>
          <w:lang w:val="en-US" w:eastAsia="zh-CN"/>
        </w:rPr>
        <w:t>五</w:t>
      </w:r>
      <w:r>
        <w:rPr>
          <w:rFonts w:hint="eastAsia" w:ascii="黑体" w:hAnsi="黑体" w:eastAsia="黑体" w:cs="微软雅黑"/>
          <w:sz w:val="32"/>
          <w:szCs w:val="32"/>
        </w:rPr>
        <w:t>、招聘需求</w:t>
      </w:r>
    </w:p>
    <w:tbl>
      <w:tblPr>
        <w:tblStyle w:val="6"/>
        <w:tblW w:w="8622" w:type="dxa"/>
        <w:jc w:val="center"/>
        <w:tblInd w:w="0" w:type="dxa"/>
        <w:tblLayout w:type="fixed"/>
        <w:tblCellMar>
          <w:top w:w="0" w:type="dxa"/>
          <w:left w:w="108" w:type="dxa"/>
          <w:bottom w:w="0" w:type="dxa"/>
          <w:right w:w="108" w:type="dxa"/>
        </w:tblCellMar>
      </w:tblPr>
      <w:tblGrid>
        <w:gridCol w:w="883"/>
        <w:gridCol w:w="2445"/>
        <w:gridCol w:w="1720"/>
        <w:gridCol w:w="3574"/>
      </w:tblGrid>
      <w:tr>
        <w:tblPrEx>
          <w:tblLayout w:type="fixed"/>
          <w:tblCellMar>
            <w:top w:w="0" w:type="dxa"/>
            <w:left w:w="108" w:type="dxa"/>
            <w:bottom w:w="0" w:type="dxa"/>
            <w:right w:w="108" w:type="dxa"/>
          </w:tblCellMar>
        </w:tblPrEx>
        <w:trPr>
          <w:trHeight w:val="694" w:hRule="exact"/>
          <w:jc w:val="center"/>
        </w:trPr>
        <w:tc>
          <w:tcPr>
            <w:tcW w:w="88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5" w:lineRule="exact"/>
              <w:ind w:right="-20"/>
              <w:rPr>
                <w:rFonts w:ascii="方正仿宋_GBK" w:eastAsia="方正仿宋_GBK"/>
                <w:b/>
                <w:sz w:val="32"/>
                <w:szCs w:val="32"/>
              </w:rPr>
            </w:pPr>
            <w:r>
              <w:rPr>
                <w:rFonts w:hint="eastAsia" w:ascii="方正仿宋_GBK" w:eastAsia="方正仿宋_GBK"/>
                <w:b/>
                <w:sz w:val="32"/>
                <w:szCs w:val="32"/>
              </w:rPr>
              <w:t>序号</w:t>
            </w:r>
          </w:p>
        </w:tc>
        <w:tc>
          <w:tcPr>
            <w:tcW w:w="244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5" w:lineRule="exact"/>
              <w:ind w:left="342" w:right="-20"/>
              <w:jc w:val="center"/>
              <w:rPr>
                <w:rFonts w:ascii="方正仿宋_GBK" w:eastAsia="方正仿宋_GBK"/>
                <w:b/>
                <w:sz w:val="32"/>
                <w:szCs w:val="32"/>
              </w:rPr>
            </w:pPr>
            <w:r>
              <w:rPr>
                <w:rFonts w:hint="eastAsia" w:ascii="方正仿宋_GBK" w:eastAsia="方正仿宋_GBK"/>
                <w:b/>
                <w:sz w:val="32"/>
                <w:szCs w:val="32"/>
              </w:rPr>
              <w:t>需求岗位</w:t>
            </w:r>
          </w:p>
        </w:tc>
        <w:tc>
          <w:tcPr>
            <w:tcW w:w="172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5" w:lineRule="exact"/>
              <w:ind w:right="-20"/>
              <w:jc w:val="center"/>
              <w:rPr>
                <w:rFonts w:ascii="方正仿宋_GBK" w:eastAsia="方正仿宋_GBK"/>
                <w:b/>
                <w:sz w:val="32"/>
                <w:szCs w:val="32"/>
              </w:rPr>
            </w:pPr>
            <w:r>
              <w:rPr>
                <w:rFonts w:hint="eastAsia" w:ascii="方正仿宋_GBK" w:eastAsia="方正仿宋_GBK"/>
                <w:b/>
                <w:sz w:val="32"/>
                <w:szCs w:val="32"/>
              </w:rPr>
              <w:t>需求人数</w:t>
            </w:r>
          </w:p>
        </w:tc>
        <w:tc>
          <w:tcPr>
            <w:tcW w:w="357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5" w:lineRule="exact"/>
              <w:ind w:right="-20"/>
              <w:jc w:val="center"/>
              <w:rPr>
                <w:rFonts w:ascii="方正仿宋_GBK" w:eastAsia="方正仿宋_GBK"/>
                <w:b/>
                <w:sz w:val="32"/>
                <w:szCs w:val="32"/>
              </w:rPr>
            </w:pPr>
            <w:r>
              <w:rPr>
                <w:rFonts w:hint="eastAsia" w:ascii="方正仿宋_GBK" w:eastAsia="方正仿宋_GBK"/>
                <w:b/>
                <w:sz w:val="32"/>
                <w:szCs w:val="32"/>
              </w:rPr>
              <w:t>专业</w:t>
            </w:r>
          </w:p>
        </w:tc>
      </w:tr>
      <w:tr>
        <w:tblPrEx>
          <w:tblLayout w:type="fixed"/>
          <w:tblCellMar>
            <w:top w:w="0" w:type="dxa"/>
            <w:left w:w="108" w:type="dxa"/>
            <w:bottom w:w="0" w:type="dxa"/>
            <w:right w:w="108" w:type="dxa"/>
          </w:tblCellMar>
        </w:tblPrEx>
        <w:trPr>
          <w:trHeight w:val="1376" w:hRule="exact"/>
          <w:jc w:val="center"/>
        </w:trPr>
        <w:tc>
          <w:tcPr>
            <w:tcW w:w="883" w:type="dxa"/>
            <w:tcBorders>
              <w:top w:val="single" w:color="000000" w:sz="4" w:space="0"/>
              <w:left w:val="single" w:color="000000" w:sz="4" w:space="0"/>
              <w:bottom w:val="single" w:color="000000" w:sz="4" w:space="0"/>
              <w:right w:val="single" w:color="000000" w:sz="4" w:space="0"/>
              <w:tl2br w:val="nil"/>
              <w:tr2bl w:val="nil"/>
            </w:tcBorders>
            <w:vAlign w:val="center"/>
          </w:tcPr>
          <w:p>
            <w:pPr>
              <w:ind w:right="-20"/>
              <w:jc w:val="center"/>
              <w:rPr>
                <w:rFonts w:ascii="方正仿宋_GBK" w:eastAsia="方正仿宋_GBK"/>
                <w:sz w:val="32"/>
                <w:szCs w:val="32"/>
              </w:rPr>
            </w:pPr>
            <w:r>
              <w:rPr>
                <w:rFonts w:hint="eastAsia" w:ascii="方正仿宋_GBK" w:eastAsia="方正仿宋_GBK"/>
                <w:sz w:val="32"/>
                <w:szCs w:val="32"/>
              </w:rPr>
              <w:t>1</w:t>
            </w:r>
          </w:p>
        </w:tc>
        <w:tc>
          <w:tcPr>
            <w:tcW w:w="2445" w:type="dxa"/>
            <w:tcBorders>
              <w:top w:val="single" w:color="000000" w:sz="4" w:space="0"/>
              <w:left w:val="single" w:color="000000" w:sz="4" w:space="0"/>
              <w:bottom w:val="single" w:color="000000" w:sz="4" w:space="0"/>
              <w:right w:val="single" w:color="000000" w:sz="4" w:space="0"/>
              <w:tl2br w:val="nil"/>
              <w:tr2bl w:val="nil"/>
            </w:tcBorders>
            <w:vAlign w:val="center"/>
          </w:tcPr>
          <w:p>
            <w:pPr>
              <w:ind w:right="-20"/>
              <w:jc w:val="center"/>
              <w:rPr>
                <w:rFonts w:ascii="方正仿宋_GBK" w:eastAsia="方正仿宋_GBK"/>
                <w:sz w:val="32"/>
                <w:szCs w:val="32"/>
              </w:rPr>
            </w:pPr>
            <w:r>
              <w:rPr>
                <w:rFonts w:hint="eastAsia" w:ascii="方正仿宋_GBK" w:eastAsia="方正仿宋_GBK"/>
                <w:sz w:val="32"/>
                <w:szCs w:val="32"/>
              </w:rPr>
              <w:t>研发助理工程师</w:t>
            </w:r>
          </w:p>
        </w:tc>
        <w:tc>
          <w:tcPr>
            <w:tcW w:w="1720" w:type="dxa"/>
            <w:tcBorders>
              <w:top w:val="single" w:color="000000" w:sz="4" w:space="0"/>
              <w:left w:val="single" w:color="000000" w:sz="4" w:space="0"/>
              <w:bottom w:val="single" w:color="000000" w:sz="4" w:space="0"/>
              <w:right w:val="single" w:color="000000" w:sz="4" w:space="0"/>
              <w:tl2br w:val="nil"/>
              <w:tr2bl w:val="nil"/>
            </w:tcBorders>
            <w:vAlign w:val="center"/>
          </w:tcPr>
          <w:p>
            <w:pPr>
              <w:ind w:right="-20"/>
              <w:jc w:val="center"/>
              <w:rPr>
                <w:rFonts w:ascii="方正仿宋_GBK" w:eastAsia="方正仿宋_GBK"/>
                <w:sz w:val="32"/>
                <w:szCs w:val="32"/>
              </w:rPr>
            </w:pPr>
            <w:r>
              <w:rPr>
                <w:rFonts w:hint="eastAsia" w:ascii="方正仿宋_GBK" w:eastAsia="方正仿宋_GBK"/>
                <w:sz w:val="32"/>
                <w:szCs w:val="32"/>
              </w:rPr>
              <w:t>2人</w:t>
            </w:r>
          </w:p>
        </w:tc>
        <w:tc>
          <w:tcPr>
            <w:tcW w:w="357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5" w:lineRule="exact"/>
              <w:ind w:left="102" w:right="-20"/>
              <w:jc w:val="left"/>
              <w:rPr>
                <w:rFonts w:ascii="方正仿宋_GBK" w:eastAsia="方正仿宋_GBK"/>
                <w:sz w:val="32"/>
                <w:szCs w:val="32"/>
              </w:rPr>
            </w:pPr>
            <w:r>
              <w:rPr>
                <w:rFonts w:hint="eastAsia" w:ascii="方正仿宋_GBK" w:eastAsia="方正仿宋_GBK"/>
                <w:sz w:val="32"/>
                <w:szCs w:val="32"/>
              </w:rPr>
              <w:t>电气工程及其自动化/机械制造及其自动化等相关专业</w:t>
            </w:r>
          </w:p>
        </w:tc>
      </w:tr>
      <w:tr>
        <w:tblPrEx>
          <w:tblLayout w:type="fixed"/>
          <w:tblCellMar>
            <w:top w:w="0" w:type="dxa"/>
            <w:left w:w="108" w:type="dxa"/>
            <w:bottom w:w="0" w:type="dxa"/>
            <w:right w:w="108" w:type="dxa"/>
          </w:tblCellMar>
        </w:tblPrEx>
        <w:trPr>
          <w:trHeight w:val="1376" w:hRule="exact"/>
          <w:jc w:val="center"/>
        </w:trPr>
        <w:tc>
          <w:tcPr>
            <w:tcW w:w="883" w:type="dxa"/>
            <w:tcBorders>
              <w:top w:val="single" w:color="000000" w:sz="4" w:space="0"/>
              <w:left w:val="single" w:color="000000" w:sz="4" w:space="0"/>
              <w:bottom w:val="single" w:color="000000" w:sz="4" w:space="0"/>
              <w:right w:val="single" w:color="000000" w:sz="4" w:space="0"/>
              <w:tl2br w:val="nil"/>
              <w:tr2bl w:val="nil"/>
            </w:tcBorders>
            <w:vAlign w:val="center"/>
          </w:tcPr>
          <w:p>
            <w:pPr>
              <w:ind w:right="-20"/>
              <w:jc w:val="center"/>
              <w:rPr>
                <w:rFonts w:ascii="方正仿宋_GBK" w:eastAsia="方正仿宋_GBK"/>
                <w:sz w:val="32"/>
                <w:szCs w:val="32"/>
              </w:rPr>
            </w:pPr>
            <w:r>
              <w:rPr>
                <w:rFonts w:hint="eastAsia" w:ascii="方正仿宋_GBK" w:eastAsia="方正仿宋_GBK"/>
                <w:sz w:val="32"/>
                <w:szCs w:val="32"/>
              </w:rPr>
              <w:t>2</w:t>
            </w:r>
          </w:p>
        </w:tc>
        <w:tc>
          <w:tcPr>
            <w:tcW w:w="244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2" w:line="220" w:lineRule="exact"/>
              <w:jc w:val="center"/>
              <w:rPr>
                <w:rFonts w:ascii="方正仿宋_GBK" w:eastAsia="方正仿宋_GBK"/>
                <w:sz w:val="32"/>
                <w:szCs w:val="32"/>
              </w:rPr>
            </w:pPr>
          </w:p>
          <w:p>
            <w:pPr>
              <w:spacing w:line="254" w:lineRule="auto"/>
              <w:ind w:left="345" w:right="17" w:hanging="240"/>
              <w:jc w:val="center"/>
              <w:rPr>
                <w:rFonts w:ascii="方正仿宋_GBK" w:eastAsia="方正仿宋_GBK"/>
                <w:sz w:val="32"/>
                <w:szCs w:val="32"/>
              </w:rPr>
            </w:pPr>
            <w:r>
              <w:rPr>
                <w:rFonts w:hint="eastAsia" w:ascii="方正仿宋_GBK" w:eastAsia="方正仿宋_GBK"/>
                <w:sz w:val="32"/>
                <w:szCs w:val="32"/>
              </w:rPr>
              <w:t>机械/电气设计工程师</w:t>
            </w:r>
          </w:p>
        </w:tc>
        <w:tc>
          <w:tcPr>
            <w:tcW w:w="1720" w:type="dxa"/>
            <w:tcBorders>
              <w:top w:val="single" w:color="000000" w:sz="4" w:space="0"/>
              <w:left w:val="single" w:color="000000" w:sz="4" w:space="0"/>
              <w:bottom w:val="single" w:color="000000" w:sz="4" w:space="0"/>
              <w:right w:val="single" w:color="000000" w:sz="4" w:space="0"/>
              <w:tl2br w:val="nil"/>
              <w:tr2bl w:val="nil"/>
            </w:tcBorders>
            <w:vAlign w:val="center"/>
          </w:tcPr>
          <w:p>
            <w:pPr>
              <w:ind w:right="-20"/>
              <w:jc w:val="center"/>
              <w:rPr>
                <w:rFonts w:ascii="方正仿宋_GBK" w:eastAsia="方正仿宋_GBK"/>
                <w:sz w:val="32"/>
                <w:szCs w:val="32"/>
              </w:rPr>
            </w:pPr>
            <w:r>
              <w:rPr>
                <w:rFonts w:hint="eastAsia" w:ascii="方正仿宋_GBK" w:eastAsia="方正仿宋_GBK"/>
                <w:sz w:val="32"/>
                <w:szCs w:val="32"/>
              </w:rPr>
              <w:t>4 人</w:t>
            </w:r>
          </w:p>
        </w:tc>
        <w:tc>
          <w:tcPr>
            <w:tcW w:w="357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5" w:lineRule="exact"/>
              <w:ind w:left="102" w:right="-20"/>
              <w:jc w:val="left"/>
              <w:rPr>
                <w:rFonts w:ascii="方正仿宋_GBK" w:eastAsia="方正仿宋_GBK"/>
                <w:sz w:val="32"/>
                <w:szCs w:val="32"/>
              </w:rPr>
            </w:pPr>
            <w:r>
              <w:rPr>
                <w:rFonts w:hint="eastAsia" w:ascii="方正仿宋_GBK" w:eastAsia="方正仿宋_GBK"/>
                <w:sz w:val="32"/>
                <w:szCs w:val="32"/>
              </w:rPr>
              <w:t>电气工程及其自动化/机械制造及其自动化等相关专业</w:t>
            </w:r>
          </w:p>
        </w:tc>
      </w:tr>
      <w:tr>
        <w:tblPrEx>
          <w:tblLayout w:type="fixed"/>
          <w:tblCellMar>
            <w:top w:w="0" w:type="dxa"/>
            <w:left w:w="108" w:type="dxa"/>
            <w:bottom w:w="0" w:type="dxa"/>
            <w:right w:w="108" w:type="dxa"/>
          </w:tblCellMar>
        </w:tblPrEx>
        <w:trPr>
          <w:trHeight w:val="1376" w:hRule="exact"/>
          <w:jc w:val="center"/>
        </w:trPr>
        <w:tc>
          <w:tcPr>
            <w:tcW w:w="883" w:type="dxa"/>
            <w:tcBorders>
              <w:top w:val="single" w:color="000000" w:sz="4" w:space="0"/>
              <w:left w:val="single" w:color="000000" w:sz="4" w:space="0"/>
              <w:bottom w:val="single" w:color="000000" w:sz="4" w:space="0"/>
              <w:right w:val="single" w:color="000000" w:sz="4" w:space="0"/>
              <w:tl2br w:val="nil"/>
              <w:tr2bl w:val="nil"/>
            </w:tcBorders>
            <w:vAlign w:val="center"/>
          </w:tcPr>
          <w:p>
            <w:pPr>
              <w:ind w:right="-20"/>
              <w:jc w:val="center"/>
              <w:rPr>
                <w:rFonts w:ascii="方正仿宋_GBK" w:eastAsia="方正仿宋_GBK"/>
                <w:sz w:val="32"/>
                <w:szCs w:val="32"/>
              </w:rPr>
            </w:pPr>
            <w:r>
              <w:rPr>
                <w:rFonts w:hint="eastAsia" w:ascii="方正仿宋_GBK" w:eastAsia="方正仿宋_GBK"/>
                <w:sz w:val="32"/>
                <w:szCs w:val="32"/>
              </w:rPr>
              <w:t>3</w:t>
            </w:r>
          </w:p>
        </w:tc>
        <w:tc>
          <w:tcPr>
            <w:tcW w:w="2445"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2" w:line="220" w:lineRule="exact"/>
              <w:jc w:val="center"/>
              <w:rPr>
                <w:rFonts w:ascii="方正仿宋_GBK" w:eastAsia="方正仿宋_GBK"/>
                <w:sz w:val="32"/>
                <w:szCs w:val="32"/>
              </w:rPr>
            </w:pPr>
          </w:p>
          <w:p>
            <w:pPr>
              <w:ind w:right="-20"/>
              <w:jc w:val="center"/>
              <w:rPr>
                <w:rFonts w:ascii="方正仿宋_GBK" w:eastAsia="方正仿宋_GBK"/>
                <w:sz w:val="32"/>
                <w:szCs w:val="32"/>
              </w:rPr>
            </w:pPr>
            <w:r>
              <w:rPr>
                <w:rFonts w:hint="eastAsia" w:ascii="方正仿宋_GBK" w:eastAsia="方正仿宋_GBK"/>
                <w:sz w:val="32"/>
                <w:szCs w:val="32"/>
              </w:rPr>
              <w:t>销售助理</w:t>
            </w:r>
          </w:p>
          <w:p>
            <w:pPr>
              <w:ind w:right="-20"/>
              <w:jc w:val="center"/>
              <w:rPr>
                <w:rFonts w:ascii="方正仿宋_GBK" w:eastAsia="方正仿宋_GBK"/>
                <w:sz w:val="32"/>
                <w:szCs w:val="32"/>
              </w:rPr>
            </w:pPr>
            <w:r>
              <w:rPr>
                <w:rFonts w:hint="eastAsia" w:ascii="方正仿宋_GBK" w:eastAsia="方正仿宋_GBK"/>
                <w:sz w:val="32"/>
                <w:szCs w:val="32"/>
              </w:rPr>
              <w:t>工程师</w:t>
            </w:r>
          </w:p>
        </w:tc>
        <w:tc>
          <w:tcPr>
            <w:tcW w:w="1720" w:type="dxa"/>
            <w:tcBorders>
              <w:top w:val="single" w:color="000000" w:sz="4" w:space="0"/>
              <w:left w:val="single" w:color="000000" w:sz="4" w:space="0"/>
              <w:bottom w:val="single" w:color="000000" w:sz="4" w:space="0"/>
              <w:right w:val="single" w:color="000000" w:sz="4" w:space="0"/>
              <w:tl2br w:val="nil"/>
              <w:tr2bl w:val="nil"/>
            </w:tcBorders>
            <w:vAlign w:val="center"/>
          </w:tcPr>
          <w:p>
            <w:pPr>
              <w:ind w:right="-20"/>
              <w:jc w:val="center"/>
              <w:rPr>
                <w:rFonts w:ascii="方正仿宋_GBK" w:eastAsia="方正仿宋_GBK"/>
                <w:sz w:val="32"/>
                <w:szCs w:val="32"/>
              </w:rPr>
            </w:pPr>
            <w:r>
              <w:rPr>
                <w:rFonts w:hint="eastAsia" w:ascii="方正仿宋_GBK" w:eastAsia="方正仿宋_GBK"/>
                <w:sz w:val="32"/>
                <w:szCs w:val="32"/>
              </w:rPr>
              <w:t>3 人</w:t>
            </w:r>
          </w:p>
        </w:tc>
        <w:tc>
          <w:tcPr>
            <w:tcW w:w="3574"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5" w:lineRule="exact"/>
              <w:ind w:left="102" w:right="-20"/>
              <w:jc w:val="left"/>
              <w:rPr>
                <w:rFonts w:ascii="方正仿宋_GBK" w:eastAsia="方正仿宋_GBK"/>
                <w:sz w:val="32"/>
                <w:szCs w:val="32"/>
              </w:rPr>
            </w:pPr>
            <w:r>
              <w:rPr>
                <w:rFonts w:hint="eastAsia" w:ascii="方正仿宋_GBK" w:eastAsia="方正仿宋_GBK"/>
                <w:sz w:val="32"/>
                <w:szCs w:val="32"/>
              </w:rPr>
              <w:t>电气工程及其自动化/机械制造及其自动化等相关专业</w:t>
            </w:r>
          </w:p>
        </w:tc>
      </w:tr>
    </w:tbl>
    <w:p>
      <w:pPr>
        <w:adjustRightInd w:val="0"/>
        <w:snapToGrid w:val="0"/>
        <w:spacing w:line="580" w:lineRule="exact"/>
        <w:ind w:firstLine="640" w:firstLineChars="200"/>
        <w:rPr>
          <w:rFonts w:ascii="黑体" w:hAnsi="黑体" w:eastAsia="黑体" w:cs="微软雅黑"/>
          <w:sz w:val="32"/>
          <w:szCs w:val="32"/>
        </w:rPr>
      </w:pPr>
      <w:r>
        <w:rPr>
          <w:rFonts w:hint="eastAsia" w:ascii="黑体" w:hAnsi="黑体" w:eastAsia="黑体" w:cs="微软雅黑"/>
          <w:sz w:val="32"/>
          <w:szCs w:val="32"/>
          <w:lang w:val="en-US" w:eastAsia="zh-CN"/>
        </w:rPr>
        <w:t>六</w:t>
      </w:r>
      <w:r>
        <w:rPr>
          <w:rFonts w:hint="eastAsia" w:ascii="黑体" w:hAnsi="黑体" w:eastAsia="黑体" w:cs="微软雅黑"/>
          <w:sz w:val="32"/>
          <w:szCs w:val="32"/>
        </w:rPr>
        <w:t>、招聘安排</w:t>
      </w:r>
    </w:p>
    <w:p>
      <w:pPr>
        <w:adjustRightInd w:val="0"/>
        <w:snapToGrid w:val="0"/>
        <w:spacing w:line="580" w:lineRule="exact"/>
        <w:ind w:firstLine="643" w:firstLineChars="200"/>
        <w:rPr>
          <w:rFonts w:ascii="仿宋_GB2312" w:eastAsia="仿宋_GB2312"/>
          <w:sz w:val="32"/>
          <w:szCs w:val="32"/>
        </w:rPr>
      </w:pPr>
      <w:r>
        <w:rPr>
          <w:rFonts w:hint="eastAsia" w:ascii="仿宋_GB2312" w:hAnsi="方正仿宋_GBK" w:eastAsia="仿宋_GB2312" w:cs="方正仿宋_GBK"/>
          <w:b/>
          <w:sz w:val="32"/>
          <w:szCs w:val="32"/>
        </w:rPr>
        <w:t>1.招聘流程：</w:t>
      </w:r>
      <w:r>
        <w:rPr>
          <w:rFonts w:hint="eastAsia" w:ascii="仿宋_GB2312" w:eastAsia="仿宋_GB2312"/>
          <w:sz w:val="32"/>
          <w:szCs w:val="32"/>
        </w:rPr>
        <w:t>简历投递-简历筛选-初试-复试- 在线测评-offer面谈-录用签约</w:t>
      </w:r>
    </w:p>
    <w:p>
      <w:pPr>
        <w:adjustRightInd w:val="0"/>
        <w:snapToGrid w:val="0"/>
        <w:spacing w:line="580" w:lineRule="exact"/>
        <w:ind w:firstLine="643" w:firstLineChars="200"/>
        <w:rPr>
          <w:rFonts w:ascii="仿宋_GB2312" w:eastAsia="仿宋_GB2312"/>
          <w:sz w:val="32"/>
          <w:szCs w:val="32"/>
        </w:rPr>
      </w:pPr>
      <w:r>
        <w:rPr>
          <w:rFonts w:hint="eastAsia" w:ascii="仿宋_GB2312" w:hAnsi="方正仿宋_GBK" w:eastAsia="仿宋_GB2312" w:cs="方正仿宋_GBK"/>
          <w:b/>
          <w:sz w:val="32"/>
          <w:szCs w:val="32"/>
        </w:rPr>
        <w:t>2.招聘形式：</w:t>
      </w:r>
      <w:r>
        <w:rPr>
          <w:rFonts w:hint="eastAsia" w:ascii="仿宋_GB2312" w:eastAsia="仿宋_GB2312"/>
          <w:sz w:val="32"/>
          <w:szCs w:val="32"/>
        </w:rPr>
        <w:t>线上+线下同步开展。</w:t>
      </w:r>
    </w:p>
    <w:p>
      <w:pPr>
        <w:adjustRightInd w:val="0"/>
        <w:snapToGrid w:val="0"/>
        <w:spacing w:line="580" w:lineRule="exact"/>
        <w:ind w:firstLine="643" w:firstLineChars="200"/>
        <w:rPr>
          <w:rFonts w:ascii="仿宋_GB2312" w:eastAsia="仿宋_GB2312"/>
          <w:sz w:val="32"/>
          <w:szCs w:val="32"/>
        </w:rPr>
      </w:pPr>
      <w:r>
        <w:rPr>
          <w:rFonts w:hint="eastAsia" w:ascii="仿宋_GB2312" w:hAnsi="方正仿宋_GBK" w:eastAsia="仿宋_GB2312" w:cs="方正仿宋_GBK"/>
          <w:b/>
          <w:sz w:val="32"/>
          <w:szCs w:val="32"/>
        </w:rPr>
        <w:t>3.网申时间：</w:t>
      </w:r>
      <w:r>
        <w:rPr>
          <w:rFonts w:hint="eastAsia" w:ascii="仿宋_GB2312" w:eastAsia="仿宋_GB2312"/>
          <w:sz w:val="32"/>
          <w:szCs w:val="32"/>
        </w:rPr>
        <w:t>公告发布之日起开始接收简历投递。</w:t>
      </w:r>
    </w:p>
    <w:p>
      <w:pPr>
        <w:adjustRightInd w:val="0"/>
        <w:snapToGrid w:val="0"/>
        <w:spacing w:line="580" w:lineRule="exact"/>
        <w:ind w:firstLine="643" w:firstLineChars="200"/>
        <w:rPr>
          <w:rFonts w:ascii="仿宋_GB2312" w:eastAsia="仿宋_GB2312"/>
          <w:sz w:val="32"/>
          <w:szCs w:val="32"/>
        </w:rPr>
      </w:pPr>
      <w:r>
        <w:rPr>
          <w:rFonts w:hint="eastAsia" w:ascii="仿宋_GB2312" w:hAnsi="方正仿宋_GBK" w:eastAsia="仿宋_GB2312" w:cs="方正仿宋_GBK"/>
          <w:b/>
          <w:sz w:val="32"/>
          <w:szCs w:val="32"/>
        </w:rPr>
        <w:t>4.其他事项</w:t>
      </w:r>
      <w:r>
        <w:rPr>
          <w:rFonts w:ascii="仿宋_GB2312" w:hAnsi="方正仿宋_GBK" w:eastAsia="仿宋_GB2312" w:cs="方正仿宋_GBK"/>
          <w:b/>
          <w:sz w:val="32"/>
          <w:szCs w:val="32"/>
        </w:rPr>
        <w:t>：</w:t>
      </w:r>
      <w:r>
        <w:rPr>
          <w:rFonts w:hint="eastAsia" w:ascii="仿宋_GB2312" w:eastAsia="仿宋_GB2312"/>
          <w:sz w:val="32"/>
          <w:szCs w:val="32"/>
        </w:rPr>
        <w:t>简历筛选与简历接收同步启动，简历筛选通过的毕业生，我们将通过短信、电话等方式通知面试，未通过的不再通知。进入面试环节的毕业生请按照通知要求及时参加面试。</w:t>
      </w:r>
    </w:p>
    <w:p>
      <w:pPr>
        <w:pStyle w:val="10"/>
        <w:adjustRightInd w:val="0"/>
        <w:snapToGrid w:val="0"/>
        <w:spacing w:line="580" w:lineRule="exact"/>
        <w:ind w:firstLine="643"/>
        <w:rPr>
          <w:rFonts w:ascii="仿宋_GB2312" w:hAnsi="方正仿宋_GBK" w:eastAsia="仿宋_GB2312" w:cs="方正仿宋_GBK"/>
          <w:szCs w:val="32"/>
        </w:rPr>
      </w:pPr>
      <w:r>
        <w:rPr>
          <w:rFonts w:hint="eastAsia" w:ascii="仿宋_GB2312" w:hAnsi="方正仿宋_GBK" w:eastAsia="仿宋_GB2312" w:cs="方正仿宋_GBK"/>
          <w:szCs w:val="32"/>
        </w:rPr>
        <w:t>5.网申通道：</w:t>
      </w:r>
    </w:p>
    <w:p>
      <w:pPr>
        <w:adjustRightInd w:val="0"/>
        <w:snapToGrid w:val="0"/>
        <w:spacing w:line="580" w:lineRule="exact"/>
        <w:ind w:firstLine="420" w:firstLineChars="200"/>
        <w:rPr>
          <w:rStyle w:val="9"/>
          <w:rFonts w:ascii="仿宋_GB2312" w:eastAsia="仿宋_GB2312"/>
          <w:sz w:val="32"/>
          <w:szCs w:val="32"/>
        </w:rPr>
      </w:pPr>
      <w:r>
        <w:fldChar w:fldCharType="begin"/>
      </w:r>
      <w:r>
        <w:instrText xml:space="preserve"> HYPERLINK "http://campus.51job.com/xjgc2023" </w:instrText>
      </w:r>
      <w:r>
        <w:fldChar w:fldCharType="separate"/>
      </w:r>
      <w:r>
        <w:rPr>
          <w:rStyle w:val="9"/>
          <w:rFonts w:hint="eastAsia" w:ascii="仿宋_GB2312" w:eastAsia="仿宋_GB2312"/>
          <w:sz w:val="32"/>
          <w:szCs w:val="32"/>
        </w:rPr>
        <w:t>http://campus.51job.com/xjgc202</w:t>
      </w:r>
      <w:r>
        <w:rPr>
          <w:rStyle w:val="9"/>
          <w:rFonts w:ascii="仿宋_GB2312" w:eastAsia="仿宋_GB2312"/>
          <w:sz w:val="32"/>
          <w:szCs w:val="32"/>
        </w:rPr>
        <w:t>3</w:t>
      </w:r>
      <w:r>
        <w:rPr>
          <w:rStyle w:val="9"/>
          <w:rFonts w:ascii="仿宋_GB2312" w:eastAsia="仿宋_GB2312"/>
          <w:sz w:val="32"/>
          <w:szCs w:val="32"/>
        </w:rPr>
        <w:fldChar w:fldCharType="end"/>
      </w:r>
    </w:p>
    <w:p>
      <w:pPr>
        <w:adjustRightInd w:val="0"/>
        <w:snapToGrid w:val="0"/>
        <w:spacing w:line="580" w:lineRule="exact"/>
        <w:ind w:firstLine="640" w:firstLineChars="200"/>
        <w:rPr>
          <w:rFonts w:ascii="仿宋_GB2312" w:eastAsia="仿宋_GB2312"/>
          <w:sz w:val="32"/>
          <w:szCs w:val="32"/>
        </w:rPr>
      </w:pPr>
      <w:r>
        <w:rPr>
          <w:rFonts w:hint="eastAsia" w:ascii="仿宋_GB2312" w:eastAsia="仿宋_GB2312"/>
          <w:sz w:val="32"/>
          <w:szCs w:val="32"/>
        </w:rPr>
        <w:t>招聘邮箱：y</w:t>
      </w:r>
      <w:r>
        <w:rPr>
          <w:rFonts w:ascii="仿宋_GB2312" w:eastAsia="仿宋_GB2312"/>
          <w:sz w:val="32"/>
          <w:szCs w:val="32"/>
        </w:rPr>
        <w:t>angli_xmxj</w:t>
      </w:r>
      <w:r>
        <w:rPr>
          <w:rFonts w:hint="eastAsia" w:ascii="仿宋_GB2312" w:eastAsia="仿宋_GB2312"/>
          <w:sz w:val="32"/>
          <w:szCs w:val="32"/>
        </w:rPr>
        <w:t>@163.com</w:t>
      </w:r>
    </w:p>
    <w:p>
      <w:pPr>
        <w:adjustRightInd w:val="0"/>
        <w:snapToGrid w:val="0"/>
        <w:spacing w:line="580" w:lineRule="exact"/>
        <w:ind w:firstLine="640" w:firstLineChars="200"/>
        <w:rPr>
          <w:rFonts w:ascii="仿宋_GB2312" w:eastAsia="仿宋_GB2312"/>
          <w:sz w:val="32"/>
          <w:szCs w:val="32"/>
        </w:rPr>
      </w:pPr>
      <w:r>
        <w:rPr>
          <w:rFonts w:hint="eastAsia" w:ascii="仿宋_GB2312" w:eastAsia="仿宋_GB2312"/>
          <w:sz w:val="32"/>
          <w:szCs w:val="32"/>
        </w:rPr>
        <w:t>网申二维码：</w:t>
      </w:r>
      <w:r>
        <w:rPr>
          <w:rFonts w:ascii="仿宋_GB2312" w:eastAsia="仿宋_GB2312"/>
          <w:sz w:val="32"/>
          <w:szCs w:val="32"/>
        </w:rPr>
        <w:t xml:space="preserve"> </w:t>
      </w:r>
    </w:p>
    <w:p>
      <w:pPr>
        <w:adjustRightInd w:val="0"/>
        <w:snapToGrid w:val="0"/>
        <w:spacing w:line="580" w:lineRule="exact"/>
        <w:ind w:firstLine="643" w:firstLineChars="200"/>
        <w:rPr>
          <w:rFonts w:ascii="仿宋_GB2312" w:hAnsi="方正仿宋_GBK" w:cs="方正仿宋_GBK"/>
          <w:b/>
          <w:sz w:val="32"/>
          <w:szCs w:val="32"/>
          <w:highlight w:val="yellow"/>
        </w:rPr>
      </w:pPr>
      <w:r>
        <w:rPr>
          <w:rFonts w:ascii="仿宋_GB2312" w:hAnsi="方正仿宋_GBK" w:cs="方正仿宋_GBK"/>
          <w:b/>
          <w:sz w:val="32"/>
          <w:szCs w:val="32"/>
        </w:rPr>
        <w:drawing>
          <wp:anchor distT="0" distB="0" distL="114300" distR="114300" simplePos="0" relativeHeight="251659264" behindDoc="1" locked="0" layoutInCell="1" allowOverlap="1">
            <wp:simplePos x="0" y="0"/>
            <wp:positionH relativeFrom="column">
              <wp:posOffset>363220</wp:posOffset>
            </wp:positionH>
            <wp:positionV relativeFrom="paragraph">
              <wp:posOffset>98425</wp:posOffset>
            </wp:positionV>
            <wp:extent cx="2039620" cy="1951355"/>
            <wp:effectExtent l="0" t="0" r="0" b="0"/>
            <wp:wrapNone/>
            <wp:docPr id="1" name="图片 1" descr="C:\Users\shirleyyan\Desktop\子站二维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shirleyyan\Desktop\子站二维码.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039815" cy="1951355"/>
                    </a:xfrm>
                    <a:prstGeom prst="rect">
                      <a:avLst/>
                    </a:prstGeom>
                    <a:noFill/>
                    <a:ln>
                      <a:noFill/>
                    </a:ln>
                  </pic:spPr>
                </pic:pic>
              </a:graphicData>
            </a:graphic>
          </wp:anchor>
        </w:drawing>
      </w:r>
    </w:p>
    <w:sectPr>
      <w:pgSz w:w="11906" w:h="16838"/>
      <w:pgMar w:top="1134" w:right="1588" w:bottom="113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iYmE3MTgxN2Y5MDI1Y2U1M2M1MWZhODI4OGRhMWEifQ=="/>
  </w:docVars>
  <w:rsids>
    <w:rsidRoot w:val="00823C23"/>
    <w:rsid w:val="000137CD"/>
    <w:rsid w:val="001C0DE7"/>
    <w:rsid w:val="00461BB1"/>
    <w:rsid w:val="005E200E"/>
    <w:rsid w:val="00763A45"/>
    <w:rsid w:val="00787101"/>
    <w:rsid w:val="00823C23"/>
    <w:rsid w:val="00884A76"/>
    <w:rsid w:val="009611A1"/>
    <w:rsid w:val="00C976A6"/>
    <w:rsid w:val="00D46277"/>
    <w:rsid w:val="00DC4674"/>
    <w:rsid w:val="00E93042"/>
    <w:rsid w:val="00FA31C3"/>
    <w:rsid w:val="057049B0"/>
    <w:rsid w:val="09067F2D"/>
    <w:rsid w:val="09DA30B5"/>
    <w:rsid w:val="09EB586C"/>
    <w:rsid w:val="0A2F615C"/>
    <w:rsid w:val="0F256939"/>
    <w:rsid w:val="0F8A215C"/>
    <w:rsid w:val="13C05313"/>
    <w:rsid w:val="15434911"/>
    <w:rsid w:val="1A7D3400"/>
    <w:rsid w:val="1BF01F03"/>
    <w:rsid w:val="1FAD0166"/>
    <w:rsid w:val="213214D8"/>
    <w:rsid w:val="21E25586"/>
    <w:rsid w:val="2A0942A9"/>
    <w:rsid w:val="2BFC3465"/>
    <w:rsid w:val="2EFF40E7"/>
    <w:rsid w:val="310653E2"/>
    <w:rsid w:val="312315BA"/>
    <w:rsid w:val="32E53E60"/>
    <w:rsid w:val="36AA6D0A"/>
    <w:rsid w:val="3E38326F"/>
    <w:rsid w:val="3FE33076"/>
    <w:rsid w:val="4B9D7F8D"/>
    <w:rsid w:val="4BEE7C89"/>
    <w:rsid w:val="4E1E6A43"/>
    <w:rsid w:val="5107338D"/>
    <w:rsid w:val="5AAE260D"/>
    <w:rsid w:val="66824FA3"/>
    <w:rsid w:val="66861C04"/>
    <w:rsid w:val="6D1A2B7E"/>
    <w:rsid w:val="77E66F38"/>
    <w:rsid w:val="7BDD1D6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3"/>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styleId="9">
    <w:name w:val="Hyperlink"/>
    <w:basedOn w:val="7"/>
    <w:qFormat/>
    <w:uiPriority w:val="0"/>
    <w:rPr>
      <w:color w:val="0563C1"/>
      <w:u w:val="single"/>
    </w:rPr>
  </w:style>
  <w:style w:type="paragraph" w:customStyle="1" w:styleId="10">
    <w:name w:val="内容-三级标题"/>
    <w:basedOn w:val="1"/>
    <w:qFormat/>
    <w:uiPriority w:val="0"/>
    <w:pPr>
      <w:ind w:firstLine="200" w:firstLineChars="200"/>
    </w:pPr>
    <w:rPr>
      <w:rFonts w:eastAsia="方正楷体_GBK" w:cs="Times New Roman"/>
      <w:b/>
      <w:sz w:val="32"/>
    </w:rPr>
  </w:style>
  <w:style w:type="character" w:customStyle="1" w:styleId="11">
    <w:name w:val="页眉 字符"/>
    <w:basedOn w:val="7"/>
    <w:link w:val="4"/>
    <w:qFormat/>
    <w:uiPriority w:val="0"/>
    <w:rPr>
      <w:kern w:val="2"/>
      <w:sz w:val="18"/>
      <w:szCs w:val="18"/>
    </w:rPr>
  </w:style>
  <w:style w:type="character" w:customStyle="1" w:styleId="12">
    <w:name w:val="页脚 字符"/>
    <w:basedOn w:val="7"/>
    <w:link w:val="3"/>
    <w:qFormat/>
    <w:uiPriority w:val="99"/>
    <w:rPr>
      <w:kern w:val="2"/>
      <w:sz w:val="18"/>
      <w:szCs w:val="18"/>
    </w:rPr>
  </w:style>
  <w:style w:type="character" w:customStyle="1" w:styleId="13">
    <w:name w:val="批注框文本 字符"/>
    <w:basedOn w:val="7"/>
    <w:link w:val="2"/>
    <w:qFormat/>
    <w:uiPriority w:val="0"/>
    <w:rPr>
      <w:kern w:val="2"/>
      <w:sz w:val="18"/>
      <w:szCs w:val="18"/>
    </w:rPr>
  </w:style>
  <w:style w:type="paragraph" w:styleId="14">
    <w:name w:val="List Paragraph"/>
    <w:basedOn w:val="1"/>
    <w:qFormat/>
    <w:uiPriority w:val="34"/>
    <w:pPr>
      <w:widowControl/>
      <w:ind w:firstLine="420" w:firstLineChars="200"/>
      <w:jc w:val="left"/>
    </w:pPr>
    <w:rPr>
      <w:rFonts w:ascii="宋体" w:hAnsi="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User</Company>
  <Pages>3</Pages>
  <Words>1177</Words>
  <Characters>1273</Characters>
  <Lines>9</Lines>
  <Paragraphs>2</Paragraphs>
  <TotalTime>4</TotalTime>
  <ScaleCrop>false</ScaleCrop>
  <LinksUpToDate>false</LinksUpToDate>
  <CharactersWithSpaces>1278</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2021-08-27T02:58:00Z</dcterms:created>
  <dc:creator>Administrator</dc:creator>
  <cp:lastModifiedBy>houyuting</cp:lastModifiedBy>
  <dcterms:modified xsi:type="dcterms:W3CDTF">2022-10-09T03:09:14Z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CF61DD4DD9F74C2988C748117A36F0A0</vt:lpwstr>
  </property>
</Properties>
</file>